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CC1" w14:textId="79B5E194" w:rsidR="000711FD" w:rsidRPr="000711FD" w:rsidRDefault="000711FD" w:rsidP="000711FD">
      <w:pPr>
        <w:rPr>
          <w:sz w:val="28"/>
          <w:szCs w:val="28"/>
        </w:rPr>
      </w:pPr>
      <w:bookmarkStart w:id="0" w:name="_Toc458540286"/>
    </w:p>
    <w:p w14:paraId="40C220A3" w14:textId="09469563" w:rsidR="000711FD" w:rsidRDefault="000711FD" w:rsidP="000711FD">
      <w:pPr>
        <w:rPr>
          <w:sz w:val="28"/>
          <w:szCs w:val="28"/>
        </w:rPr>
      </w:pPr>
    </w:p>
    <w:p w14:paraId="18ED66A8" w14:textId="6292D835" w:rsidR="001C595E" w:rsidRDefault="001C595E" w:rsidP="000711FD">
      <w:pPr>
        <w:rPr>
          <w:sz w:val="28"/>
          <w:szCs w:val="28"/>
        </w:rPr>
      </w:pPr>
    </w:p>
    <w:p w14:paraId="0C08D289" w14:textId="4F86F9B7" w:rsidR="001C595E" w:rsidRDefault="001C595E" w:rsidP="000711FD">
      <w:pPr>
        <w:rPr>
          <w:sz w:val="28"/>
          <w:szCs w:val="28"/>
        </w:rPr>
      </w:pPr>
    </w:p>
    <w:p w14:paraId="07CD9FFA" w14:textId="0B84C23E" w:rsidR="001C595E" w:rsidRDefault="001C595E" w:rsidP="000711FD">
      <w:pPr>
        <w:rPr>
          <w:sz w:val="28"/>
          <w:szCs w:val="28"/>
        </w:rPr>
      </w:pPr>
    </w:p>
    <w:p w14:paraId="001CFA5F" w14:textId="72BDACB4" w:rsidR="001C595E" w:rsidRDefault="001C595E" w:rsidP="000711FD">
      <w:pPr>
        <w:rPr>
          <w:sz w:val="28"/>
          <w:szCs w:val="28"/>
        </w:rPr>
      </w:pPr>
    </w:p>
    <w:p w14:paraId="276EC797" w14:textId="77777777" w:rsidR="00C416B6" w:rsidRDefault="00C416B6" w:rsidP="000711FD">
      <w:pPr>
        <w:rPr>
          <w:sz w:val="28"/>
          <w:szCs w:val="28"/>
        </w:rPr>
      </w:pPr>
    </w:p>
    <w:p w14:paraId="6F9C76E8" w14:textId="77777777" w:rsidR="00C416B6" w:rsidRDefault="00C416B6" w:rsidP="000711FD">
      <w:pPr>
        <w:rPr>
          <w:sz w:val="28"/>
          <w:szCs w:val="28"/>
        </w:rPr>
      </w:pPr>
    </w:p>
    <w:p w14:paraId="40B94A1B" w14:textId="77777777" w:rsidR="00C416B6" w:rsidRDefault="00C416B6" w:rsidP="000711FD">
      <w:pPr>
        <w:rPr>
          <w:sz w:val="28"/>
          <w:szCs w:val="28"/>
        </w:rPr>
      </w:pPr>
    </w:p>
    <w:p w14:paraId="71977D4F" w14:textId="3C808AFD" w:rsidR="001C595E" w:rsidRDefault="001C595E" w:rsidP="000711FD">
      <w:pPr>
        <w:rPr>
          <w:sz w:val="28"/>
          <w:szCs w:val="28"/>
        </w:rPr>
      </w:pPr>
    </w:p>
    <w:p w14:paraId="6C759B33" w14:textId="05D10E5D"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0C6ADC07" w14:textId="77777777" w:rsidR="000711FD" w:rsidRPr="000711FD" w:rsidRDefault="000711FD" w:rsidP="000711FD">
      <w:pPr>
        <w:rPr>
          <w:sz w:val="28"/>
          <w:szCs w:val="28"/>
        </w:rPr>
      </w:pPr>
    </w:p>
    <w:p w14:paraId="7A879D2E" w14:textId="79D47F75" w:rsidR="000711FD" w:rsidRPr="005448C0" w:rsidRDefault="009B2007" w:rsidP="000711FD">
      <w:pPr>
        <w:rPr>
          <w:sz w:val="40"/>
          <w:szCs w:val="40"/>
        </w:rPr>
      </w:pPr>
      <w:r>
        <w:rPr>
          <w:sz w:val="40"/>
          <w:szCs w:val="40"/>
        </w:rPr>
        <w:t>Regulatory Strategy</w:t>
      </w:r>
      <w:r w:rsidR="000B6CA1">
        <w:rPr>
          <w:sz w:val="40"/>
          <w:szCs w:val="40"/>
        </w:rPr>
        <w:t xml:space="preserve"> Report</w:t>
      </w:r>
    </w:p>
    <w:p w14:paraId="3FA5E718" w14:textId="300475F7" w:rsidR="000711FD" w:rsidRPr="005448C0" w:rsidRDefault="00EC1FC0" w:rsidP="000711FD">
      <w:pPr>
        <w:rPr>
          <w:sz w:val="40"/>
          <w:szCs w:val="40"/>
        </w:rPr>
      </w:pPr>
      <w:r w:rsidRPr="005448C0">
        <w:rPr>
          <w:sz w:val="40"/>
          <w:szCs w:val="40"/>
        </w:rPr>
        <w:t>For</w:t>
      </w:r>
    </w:p>
    <w:p w14:paraId="5A9F6772" w14:textId="77777777" w:rsidR="000711FD" w:rsidRDefault="000711FD" w:rsidP="000711FD"/>
    <w:p w14:paraId="23D0859F" w14:textId="77777777" w:rsidR="005448C0" w:rsidRDefault="005448C0" w:rsidP="000711FD"/>
    <w:p w14:paraId="3050778D" w14:textId="77777777" w:rsidR="000711FD" w:rsidRDefault="000711FD" w:rsidP="000711FD"/>
    <w:p w14:paraId="1A072EB9" w14:textId="77777777" w:rsidR="000711FD" w:rsidRDefault="000711FD" w:rsidP="000711FD"/>
    <w:p w14:paraId="421DB130" w14:textId="77777777" w:rsidR="005448C0" w:rsidRDefault="005448C0" w:rsidP="000711FD"/>
    <w:p w14:paraId="4FDEA360" w14:textId="77777777" w:rsidR="005448C0" w:rsidRDefault="005448C0" w:rsidP="000711FD"/>
    <w:p w14:paraId="20982229" w14:textId="77777777" w:rsidR="000711FD" w:rsidRDefault="000711FD" w:rsidP="000711FD"/>
    <w:p w14:paraId="0687160C" w14:textId="3FD770A1" w:rsidR="000711FD" w:rsidRPr="003E3AB9" w:rsidRDefault="00075D74" w:rsidP="00EC1FC0">
      <w:pPr>
        <w:jc w:val="center"/>
        <w:rPr>
          <w:sz w:val="40"/>
          <w:szCs w:val="40"/>
        </w:rPr>
      </w:pPr>
      <w:r>
        <w:rPr>
          <w:sz w:val="40"/>
          <w:szCs w:val="40"/>
        </w:rPr>
        <w:t>[</w:t>
      </w:r>
      <w:r w:rsidRPr="00075D74">
        <w:rPr>
          <w:color w:val="FF0000"/>
          <w:sz w:val="40"/>
          <w:szCs w:val="40"/>
        </w:rPr>
        <w:t>Device Name</w:t>
      </w:r>
      <w:r>
        <w:rPr>
          <w:sz w:val="40"/>
          <w:szCs w:val="40"/>
        </w:rPr>
        <w:t>]</w:t>
      </w:r>
    </w:p>
    <w:p w14:paraId="07656F9A" w14:textId="77777777" w:rsidR="000711FD" w:rsidRDefault="000711FD" w:rsidP="000711FD"/>
    <w:p w14:paraId="597724FC" w14:textId="77777777" w:rsidR="000711FD" w:rsidRDefault="000711FD" w:rsidP="000711FD"/>
    <w:p w14:paraId="4AD2C0AC" w14:textId="77777777" w:rsidR="00D768ED" w:rsidRDefault="00D768ED" w:rsidP="00D768ED"/>
    <w:p w14:paraId="12365A42" w14:textId="77777777" w:rsidR="000711FD" w:rsidRDefault="000711FD" w:rsidP="00D768ED"/>
    <w:p w14:paraId="4A314C4D" w14:textId="77777777" w:rsidR="000711FD" w:rsidRDefault="000711FD" w:rsidP="00D768ED"/>
    <w:p w14:paraId="6048F3E5" w14:textId="67085FCE" w:rsidR="000711FD" w:rsidRDefault="000711FD" w:rsidP="00D768ED"/>
    <w:p w14:paraId="475053BA" w14:textId="6FA8E401" w:rsidR="001C595E" w:rsidRDefault="001C595E" w:rsidP="00D768ED"/>
    <w:p w14:paraId="3D3FE79C" w14:textId="57A51F37" w:rsidR="001C595E" w:rsidRDefault="001C595E" w:rsidP="00D768ED"/>
    <w:p w14:paraId="74AB6F1F" w14:textId="6FD2F8E9" w:rsidR="001C595E" w:rsidRDefault="001C595E" w:rsidP="00D768ED"/>
    <w:p w14:paraId="0BA3FE34" w14:textId="2D5BD899" w:rsidR="001C595E" w:rsidRDefault="001C595E" w:rsidP="00D768ED"/>
    <w:p w14:paraId="379138E7" w14:textId="5940CF28" w:rsidR="001C595E" w:rsidRDefault="001C595E" w:rsidP="00D768ED"/>
    <w:p w14:paraId="2658182F" w14:textId="1CA49712" w:rsidR="001C595E" w:rsidRDefault="001C595E" w:rsidP="00D768ED"/>
    <w:p w14:paraId="714458C4" w14:textId="7CE83B27" w:rsidR="001C595E" w:rsidRDefault="0037465F" w:rsidP="00D768ED">
      <w:r>
        <w:t>Manufacturer Name: [</w:t>
      </w:r>
      <w:r w:rsidRPr="0037465F">
        <w:rPr>
          <w:color w:val="FF0000"/>
        </w:rPr>
        <w:t>Manufacturer name</w:t>
      </w:r>
      <w:r>
        <w:t>]</w:t>
      </w:r>
    </w:p>
    <w:p w14:paraId="7D545601" w14:textId="27745342" w:rsidR="001C595E" w:rsidRDefault="001C595E" w:rsidP="00D768ED"/>
    <w:p w14:paraId="34AADE39" w14:textId="1A1C02FB" w:rsidR="001C595E" w:rsidRDefault="001C595E" w:rsidP="00D768ED"/>
    <w:p w14:paraId="3FAB1B98" w14:textId="224E69D7" w:rsidR="001C595E" w:rsidRDefault="001C595E" w:rsidP="00D768ED"/>
    <w:p w14:paraId="353F2BDB" w14:textId="538246BA" w:rsidR="001C595E" w:rsidRDefault="001C595E" w:rsidP="00D768ED"/>
    <w:p w14:paraId="47E02310" w14:textId="7CAE0050" w:rsidR="001C595E" w:rsidRDefault="001C595E" w:rsidP="00D768ED"/>
    <w:p w14:paraId="3A4F05A8" w14:textId="77777777" w:rsidR="001C595E" w:rsidRDefault="001C595E" w:rsidP="00D768ED"/>
    <w:p w14:paraId="247A44F6" w14:textId="77777777" w:rsidR="00C416B6" w:rsidRDefault="00C416B6" w:rsidP="00D768ED"/>
    <w:p w14:paraId="0067EE9B" w14:textId="0D15D9F7" w:rsidR="00C416B6" w:rsidRDefault="00A43CE8" w:rsidP="00D768ED">
      <w:r>
        <w:t xml:space="preserve">Document Number: </w:t>
      </w:r>
      <w:r w:rsidRPr="00A43CE8">
        <w:rPr>
          <w:color w:val="FF0000"/>
        </w:rPr>
        <w:t>XXXX</w:t>
      </w:r>
    </w:p>
    <w:p w14:paraId="01AF3987" w14:textId="295DD3EC" w:rsidR="00A43CE8" w:rsidRDefault="00A43CE8" w:rsidP="00D768ED">
      <w:pPr>
        <w:rPr>
          <w:color w:val="FF0000"/>
        </w:rPr>
      </w:pPr>
      <w:r>
        <w:t xml:space="preserve">Revision: </w:t>
      </w:r>
      <w:r w:rsidRPr="00A43CE8">
        <w:rPr>
          <w:color w:val="FF0000"/>
        </w:rPr>
        <w:t>XXXX</w:t>
      </w:r>
    </w:p>
    <w:p w14:paraId="44D3AA71" w14:textId="6539552E" w:rsidR="00A43CE8" w:rsidRDefault="00A43CE8">
      <w:pPr>
        <w:spacing w:after="200" w:line="276" w:lineRule="auto"/>
        <w:jc w:val="left"/>
      </w:pPr>
      <w:r>
        <w:br w:type="page"/>
      </w:r>
    </w:p>
    <w:bookmarkEnd w:id="0"/>
    <w:p w14:paraId="1C668245" w14:textId="2D39DB34" w:rsidR="000F0603" w:rsidRPr="000F0603" w:rsidRDefault="000F0603" w:rsidP="000F0603">
      <w:pPr>
        <w:tabs>
          <w:tab w:val="left" w:pos="3390"/>
        </w:tabs>
        <w:sectPr w:rsidR="000F0603" w:rsidRPr="000F0603" w:rsidSect="000F0603">
          <w:headerReference w:type="default" r:id="rId8"/>
          <w:footerReference w:type="default" r:id="rId9"/>
          <w:headerReference w:type="first" r:id="rId10"/>
          <w:footerReference w:type="first" r:id="rId11"/>
          <w:pgSz w:w="11906" w:h="16838"/>
          <w:pgMar w:top="1560" w:right="991" w:bottom="1417" w:left="993" w:header="426" w:footer="560" w:gutter="0"/>
          <w:cols w:space="708"/>
          <w:titlePg/>
          <w:docGrid w:linePitch="360"/>
        </w:sectPr>
      </w:pPr>
    </w:p>
    <w:p w14:paraId="073155F2" w14:textId="1AA616DC" w:rsidR="001C595E" w:rsidRDefault="001C595E" w:rsidP="00EC1FC0">
      <w:pPr>
        <w:pStyle w:val="Heading1"/>
        <w:numPr>
          <w:ilvl w:val="0"/>
          <w:numId w:val="0"/>
        </w:numPr>
        <w:ind w:left="432" w:hanging="432"/>
      </w:pPr>
      <w:bookmarkStart w:id="1" w:name="_Toc148457081"/>
      <w:r>
        <w:lastRenderedPageBreak/>
        <w:t>Revision History</w:t>
      </w:r>
      <w:bookmarkEnd w:id="1"/>
    </w:p>
    <w:p w14:paraId="3C516E68" w14:textId="70C7B8D5" w:rsidR="001C595E" w:rsidRDefault="001C595E" w:rsidP="001C595E"/>
    <w:p w14:paraId="307B3EDA" w14:textId="601A9F1D" w:rsidR="001C595E" w:rsidRPr="001C595E" w:rsidRDefault="001C595E" w:rsidP="001C595E">
      <w:pPr>
        <w:rPr>
          <w:b/>
          <w:bCs/>
          <w:color w:val="1F497D" w:themeColor="text2"/>
          <w:sz w:val="24"/>
          <w:szCs w:val="24"/>
        </w:rPr>
      </w:pPr>
      <w:bookmarkStart w:id="2"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780DCB">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2"/>
    </w:p>
    <w:tbl>
      <w:tblPr>
        <w:tblStyle w:val="TableGrid1"/>
        <w:tblW w:w="0" w:type="auto"/>
        <w:tblLook w:val="04A0" w:firstRow="1" w:lastRow="0" w:firstColumn="1" w:lastColumn="0" w:noHBand="0" w:noVBand="1"/>
      </w:tblPr>
      <w:tblGrid>
        <w:gridCol w:w="1188"/>
        <w:gridCol w:w="1800"/>
        <w:gridCol w:w="7150"/>
      </w:tblGrid>
      <w:tr w:rsidR="001C595E" w:rsidRPr="001C595E" w14:paraId="0C20EC77" w14:textId="77777777" w:rsidTr="005B7CE1">
        <w:tc>
          <w:tcPr>
            <w:tcW w:w="1188" w:type="dxa"/>
            <w:shd w:val="clear" w:color="auto" w:fill="4F81BD" w:themeFill="accent1"/>
          </w:tcPr>
          <w:p w14:paraId="0326FD40" w14:textId="77777777" w:rsidR="001C595E" w:rsidRPr="001C595E" w:rsidRDefault="001C595E" w:rsidP="001C595E">
            <w:pPr>
              <w:rPr>
                <w:color w:val="FFFFFF" w:themeColor="background1"/>
              </w:rPr>
            </w:pPr>
            <w:r w:rsidRPr="001C595E">
              <w:rPr>
                <w:color w:val="FFFFFF" w:themeColor="background1"/>
              </w:rPr>
              <w:t>Revision</w:t>
            </w:r>
          </w:p>
        </w:tc>
        <w:tc>
          <w:tcPr>
            <w:tcW w:w="1800" w:type="dxa"/>
            <w:shd w:val="clear" w:color="auto" w:fill="4F81BD" w:themeFill="accent1"/>
          </w:tcPr>
          <w:p w14:paraId="09CE41BE" w14:textId="77777777" w:rsidR="001C595E" w:rsidRPr="001C595E" w:rsidRDefault="001C595E" w:rsidP="001C595E">
            <w:pPr>
              <w:rPr>
                <w:color w:val="FFFFFF" w:themeColor="background1"/>
              </w:rPr>
            </w:pPr>
            <w:r w:rsidRPr="001C595E">
              <w:rPr>
                <w:color w:val="FFFFFF" w:themeColor="background1"/>
              </w:rPr>
              <w:t>Date</w:t>
            </w:r>
          </w:p>
        </w:tc>
        <w:tc>
          <w:tcPr>
            <w:tcW w:w="7150" w:type="dxa"/>
            <w:shd w:val="clear" w:color="auto" w:fill="4F81BD" w:themeFill="accent1"/>
          </w:tcPr>
          <w:p w14:paraId="48BCC00F" w14:textId="77777777" w:rsidR="001C595E" w:rsidRPr="001C595E" w:rsidRDefault="001C595E" w:rsidP="001C595E">
            <w:pPr>
              <w:rPr>
                <w:color w:val="FFFFFF" w:themeColor="background1"/>
              </w:rPr>
            </w:pPr>
            <w:r w:rsidRPr="001C595E">
              <w:rPr>
                <w:color w:val="FFFFFF" w:themeColor="background1"/>
              </w:rPr>
              <w:t>Change History</w:t>
            </w:r>
          </w:p>
        </w:tc>
      </w:tr>
      <w:tr w:rsidR="001C595E" w:rsidRPr="001C595E" w14:paraId="4B991F94" w14:textId="77777777" w:rsidTr="005B7CE1">
        <w:tc>
          <w:tcPr>
            <w:tcW w:w="1188" w:type="dxa"/>
          </w:tcPr>
          <w:p w14:paraId="661C406F" w14:textId="77777777" w:rsidR="001C595E" w:rsidRPr="001C595E" w:rsidRDefault="001C595E" w:rsidP="001C595E"/>
        </w:tc>
        <w:tc>
          <w:tcPr>
            <w:tcW w:w="1800" w:type="dxa"/>
          </w:tcPr>
          <w:p w14:paraId="64E0CCCC" w14:textId="77777777" w:rsidR="001C595E" w:rsidRPr="001C595E" w:rsidRDefault="001C595E" w:rsidP="001C595E"/>
        </w:tc>
        <w:tc>
          <w:tcPr>
            <w:tcW w:w="7150" w:type="dxa"/>
          </w:tcPr>
          <w:p w14:paraId="1F1D8C39" w14:textId="77777777" w:rsidR="001C595E" w:rsidRPr="001C595E" w:rsidRDefault="001C595E" w:rsidP="001C595E"/>
        </w:tc>
      </w:tr>
      <w:tr w:rsidR="001C595E" w:rsidRPr="001C595E" w14:paraId="14782AA4" w14:textId="77777777" w:rsidTr="005B7CE1">
        <w:tc>
          <w:tcPr>
            <w:tcW w:w="1188" w:type="dxa"/>
          </w:tcPr>
          <w:p w14:paraId="4C5D456F" w14:textId="77777777" w:rsidR="001C595E" w:rsidRPr="001C595E" w:rsidRDefault="001C595E" w:rsidP="001C595E"/>
        </w:tc>
        <w:tc>
          <w:tcPr>
            <w:tcW w:w="1800" w:type="dxa"/>
          </w:tcPr>
          <w:p w14:paraId="313D96E8" w14:textId="77777777" w:rsidR="001C595E" w:rsidRPr="001C595E" w:rsidRDefault="001C595E" w:rsidP="001C595E"/>
        </w:tc>
        <w:tc>
          <w:tcPr>
            <w:tcW w:w="7150" w:type="dxa"/>
          </w:tcPr>
          <w:p w14:paraId="22D3051F" w14:textId="77777777" w:rsidR="001C595E" w:rsidRPr="001C595E" w:rsidRDefault="001C595E" w:rsidP="001C595E"/>
        </w:tc>
      </w:tr>
      <w:tr w:rsidR="001C595E" w:rsidRPr="001C595E" w14:paraId="4CE3856D" w14:textId="77777777" w:rsidTr="005B7CE1">
        <w:tc>
          <w:tcPr>
            <w:tcW w:w="1188" w:type="dxa"/>
          </w:tcPr>
          <w:p w14:paraId="610887C7" w14:textId="77777777" w:rsidR="001C595E" w:rsidRPr="001C595E" w:rsidRDefault="001C595E" w:rsidP="001C595E"/>
        </w:tc>
        <w:tc>
          <w:tcPr>
            <w:tcW w:w="1800" w:type="dxa"/>
          </w:tcPr>
          <w:p w14:paraId="1F4DD1F5" w14:textId="77777777" w:rsidR="001C595E" w:rsidRPr="001C595E" w:rsidRDefault="001C595E" w:rsidP="001C595E"/>
        </w:tc>
        <w:tc>
          <w:tcPr>
            <w:tcW w:w="7150" w:type="dxa"/>
          </w:tcPr>
          <w:p w14:paraId="077C76BB" w14:textId="77777777" w:rsidR="001C595E" w:rsidRPr="001C595E" w:rsidRDefault="001C595E" w:rsidP="001C595E"/>
        </w:tc>
      </w:tr>
      <w:tr w:rsidR="001C595E" w:rsidRPr="001C595E" w14:paraId="3AE441DD" w14:textId="77777777" w:rsidTr="005B7CE1">
        <w:tc>
          <w:tcPr>
            <w:tcW w:w="1188" w:type="dxa"/>
          </w:tcPr>
          <w:p w14:paraId="4F8287DB" w14:textId="77777777" w:rsidR="001C595E" w:rsidRPr="001C595E" w:rsidRDefault="001C595E" w:rsidP="001C595E"/>
        </w:tc>
        <w:tc>
          <w:tcPr>
            <w:tcW w:w="1800" w:type="dxa"/>
          </w:tcPr>
          <w:p w14:paraId="5DA2AD8E" w14:textId="77777777" w:rsidR="001C595E" w:rsidRPr="001C595E" w:rsidRDefault="001C595E" w:rsidP="001C595E"/>
        </w:tc>
        <w:tc>
          <w:tcPr>
            <w:tcW w:w="7150" w:type="dxa"/>
          </w:tcPr>
          <w:p w14:paraId="44E907FD" w14:textId="77777777" w:rsidR="001C595E" w:rsidRPr="001C595E" w:rsidRDefault="001C595E" w:rsidP="001C595E"/>
        </w:tc>
      </w:tr>
      <w:tr w:rsidR="001C595E" w:rsidRPr="001C595E" w14:paraId="545725FB" w14:textId="77777777" w:rsidTr="005B7CE1">
        <w:tc>
          <w:tcPr>
            <w:tcW w:w="1188" w:type="dxa"/>
          </w:tcPr>
          <w:p w14:paraId="61BF83AA" w14:textId="77777777" w:rsidR="001C595E" w:rsidRPr="001C595E" w:rsidRDefault="001C595E" w:rsidP="001C595E"/>
        </w:tc>
        <w:tc>
          <w:tcPr>
            <w:tcW w:w="1800" w:type="dxa"/>
          </w:tcPr>
          <w:p w14:paraId="0B2AFC6F" w14:textId="77777777" w:rsidR="001C595E" w:rsidRPr="001C595E" w:rsidRDefault="001C595E" w:rsidP="001C595E"/>
        </w:tc>
        <w:tc>
          <w:tcPr>
            <w:tcW w:w="7150" w:type="dxa"/>
          </w:tcPr>
          <w:p w14:paraId="0B22E27A" w14:textId="77777777" w:rsidR="001C595E" w:rsidRPr="001C595E" w:rsidRDefault="001C595E" w:rsidP="001C595E"/>
        </w:tc>
      </w:tr>
    </w:tbl>
    <w:p w14:paraId="390AA516" w14:textId="77777777" w:rsidR="001C595E" w:rsidRPr="001C595E" w:rsidRDefault="001C595E" w:rsidP="001C595E"/>
    <w:p w14:paraId="3DA61306" w14:textId="77777777" w:rsidR="001C595E" w:rsidRDefault="001C595E" w:rsidP="00EC1FC0">
      <w:pPr>
        <w:pStyle w:val="Heading1"/>
        <w:numPr>
          <w:ilvl w:val="0"/>
          <w:numId w:val="0"/>
        </w:numPr>
        <w:ind w:left="432" w:hanging="432"/>
      </w:pPr>
      <w:r>
        <w:br w:type="page"/>
      </w:r>
    </w:p>
    <w:p w14:paraId="57AE8BF1" w14:textId="3238872A" w:rsidR="00E62F06" w:rsidRDefault="00EC1FC0" w:rsidP="00EC1FC0">
      <w:pPr>
        <w:pStyle w:val="Heading1"/>
        <w:numPr>
          <w:ilvl w:val="0"/>
          <w:numId w:val="0"/>
        </w:numPr>
        <w:ind w:left="432" w:hanging="432"/>
      </w:pPr>
      <w:bookmarkStart w:id="3" w:name="_Toc148457082"/>
      <w:r>
        <w:lastRenderedPageBreak/>
        <w:t>Table of Content</w:t>
      </w:r>
      <w:bookmarkEnd w:id="3"/>
    </w:p>
    <w:sdt>
      <w:sdtPr>
        <w:rPr>
          <w:rFonts w:ascii="Cambria" w:eastAsiaTheme="minorHAnsi" w:hAnsi="Cambria" w:cstheme="minorBidi"/>
          <w:color w:val="auto"/>
          <w:sz w:val="22"/>
          <w:szCs w:val="22"/>
        </w:rPr>
        <w:id w:val="34318880"/>
        <w:docPartObj>
          <w:docPartGallery w:val="Table of Contents"/>
          <w:docPartUnique/>
        </w:docPartObj>
      </w:sdtPr>
      <w:sdtEndPr>
        <w:rPr>
          <w:rFonts w:asciiTheme="majorHAnsi" w:hAnsiTheme="majorHAnsi"/>
          <w:b/>
          <w:bCs/>
          <w:noProof/>
        </w:rPr>
      </w:sdtEndPr>
      <w:sdtContent>
        <w:p w14:paraId="26512C3D" w14:textId="5E73E4D3" w:rsidR="00E65CE7" w:rsidRDefault="00E65CE7">
          <w:pPr>
            <w:pStyle w:val="TOCHeading"/>
          </w:pPr>
        </w:p>
        <w:p w14:paraId="0750DC2E" w14:textId="4CB68631" w:rsidR="00F934A2" w:rsidRDefault="00E65CE7">
          <w:pPr>
            <w:pStyle w:val="TOC1"/>
            <w:tabs>
              <w:tab w:val="right" w:leader="dot" w:pos="9912"/>
            </w:tabs>
            <w:rPr>
              <w:rFonts w:asciiTheme="minorHAnsi" w:eastAsiaTheme="minorEastAsia" w:hAnsiTheme="minorHAnsi"/>
              <w:noProof/>
              <w:kern w:val="2"/>
              <w:lang w:eastAsia="fr-FR"/>
              <w14:ligatures w14:val="standardContextual"/>
            </w:rPr>
          </w:pPr>
          <w:r>
            <w:fldChar w:fldCharType="begin"/>
          </w:r>
          <w:r>
            <w:instrText xml:space="preserve"> TOC \o "1-3" \h \z \u </w:instrText>
          </w:r>
          <w:r>
            <w:fldChar w:fldCharType="separate"/>
          </w:r>
          <w:hyperlink w:anchor="_Toc148457081" w:history="1">
            <w:r w:rsidR="00F934A2" w:rsidRPr="00FF26A1">
              <w:rPr>
                <w:rStyle w:val="Hyperlink"/>
                <w:noProof/>
              </w:rPr>
              <w:t>Revision History</w:t>
            </w:r>
            <w:r w:rsidR="00F934A2">
              <w:rPr>
                <w:noProof/>
                <w:webHidden/>
              </w:rPr>
              <w:tab/>
            </w:r>
            <w:r w:rsidR="00F934A2">
              <w:rPr>
                <w:noProof/>
                <w:webHidden/>
              </w:rPr>
              <w:fldChar w:fldCharType="begin"/>
            </w:r>
            <w:r w:rsidR="00F934A2">
              <w:rPr>
                <w:noProof/>
                <w:webHidden/>
              </w:rPr>
              <w:instrText xml:space="preserve"> PAGEREF _Toc148457081 \h </w:instrText>
            </w:r>
            <w:r w:rsidR="00F934A2">
              <w:rPr>
                <w:noProof/>
                <w:webHidden/>
              </w:rPr>
            </w:r>
            <w:r w:rsidR="00F934A2">
              <w:rPr>
                <w:noProof/>
                <w:webHidden/>
              </w:rPr>
              <w:fldChar w:fldCharType="separate"/>
            </w:r>
            <w:r w:rsidR="00F934A2">
              <w:rPr>
                <w:noProof/>
                <w:webHidden/>
              </w:rPr>
              <w:t>2</w:t>
            </w:r>
            <w:r w:rsidR="00F934A2">
              <w:rPr>
                <w:noProof/>
                <w:webHidden/>
              </w:rPr>
              <w:fldChar w:fldCharType="end"/>
            </w:r>
          </w:hyperlink>
        </w:p>
        <w:p w14:paraId="441B96FE" w14:textId="13E4936C" w:rsidR="00F934A2" w:rsidRDefault="00000000">
          <w:pPr>
            <w:pStyle w:val="TOC1"/>
            <w:tabs>
              <w:tab w:val="right" w:leader="dot" w:pos="9912"/>
            </w:tabs>
            <w:rPr>
              <w:rFonts w:asciiTheme="minorHAnsi" w:eastAsiaTheme="minorEastAsia" w:hAnsiTheme="minorHAnsi"/>
              <w:noProof/>
              <w:kern w:val="2"/>
              <w:lang w:eastAsia="fr-FR"/>
              <w14:ligatures w14:val="standardContextual"/>
            </w:rPr>
          </w:pPr>
          <w:hyperlink w:anchor="_Toc148457082" w:history="1">
            <w:r w:rsidR="00F934A2" w:rsidRPr="00FF26A1">
              <w:rPr>
                <w:rStyle w:val="Hyperlink"/>
                <w:noProof/>
              </w:rPr>
              <w:t>Table of Content</w:t>
            </w:r>
            <w:r w:rsidR="00F934A2">
              <w:rPr>
                <w:noProof/>
                <w:webHidden/>
              </w:rPr>
              <w:tab/>
            </w:r>
            <w:r w:rsidR="00F934A2">
              <w:rPr>
                <w:noProof/>
                <w:webHidden/>
              </w:rPr>
              <w:fldChar w:fldCharType="begin"/>
            </w:r>
            <w:r w:rsidR="00F934A2">
              <w:rPr>
                <w:noProof/>
                <w:webHidden/>
              </w:rPr>
              <w:instrText xml:space="preserve"> PAGEREF _Toc148457082 \h </w:instrText>
            </w:r>
            <w:r w:rsidR="00F934A2">
              <w:rPr>
                <w:noProof/>
                <w:webHidden/>
              </w:rPr>
            </w:r>
            <w:r w:rsidR="00F934A2">
              <w:rPr>
                <w:noProof/>
                <w:webHidden/>
              </w:rPr>
              <w:fldChar w:fldCharType="separate"/>
            </w:r>
            <w:r w:rsidR="00F934A2">
              <w:rPr>
                <w:noProof/>
                <w:webHidden/>
              </w:rPr>
              <w:t>3</w:t>
            </w:r>
            <w:r w:rsidR="00F934A2">
              <w:rPr>
                <w:noProof/>
                <w:webHidden/>
              </w:rPr>
              <w:fldChar w:fldCharType="end"/>
            </w:r>
          </w:hyperlink>
        </w:p>
        <w:p w14:paraId="717C76A5" w14:textId="04E93BA3" w:rsidR="00F934A2" w:rsidRDefault="00000000">
          <w:pPr>
            <w:pStyle w:val="TOC1"/>
            <w:tabs>
              <w:tab w:val="right" w:leader="dot" w:pos="9912"/>
            </w:tabs>
            <w:rPr>
              <w:rFonts w:asciiTheme="minorHAnsi" w:eastAsiaTheme="minorEastAsia" w:hAnsiTheme="minorHAnsi"/>
              <w:noProof/>
              <w:kern w:val="2"/>
              <w:lang w:eastAsia="fr-FR"/>
              <w14:ligatures w14:val="standardContextual"/>
            </w:rPr>
          </w:pPr>
          <w:hyperlink w:anchor="_Toc148457083" w:history="1">
            <w:r w:rsidR="00F934A2" w:rsidRPr="00FF26A1">
              <w:rPr>
                <w:rStyle w:val="Hyperlink"/>
                <w:noProof/>
              </w:rPr>
              <w:t>Acronyms</w:t>
            </w:r>
            <w:r w:rsidR="00F934A2">
              <w:rPr>
                <w:noProof/>
                <w:webHidden/>
              </w:rPr>
              <w:tab/>
            </w:r>
            <w:r w:rsidR="00F934A2">
              <w:rPr>
                <w:noProof/>
                <w:webHidden/>
              </w:rPr>
              <w:fldChar w:fldCharType="begin"/>
            </w:r>
            <w:r w:rsidR="00F934A2">
              <w:rPr>
                <w:noProof/>
                <w:webHidden/>
              </w:rPr>
              <w:instrText xml:space="preserve"> PAGEREF _Toc148457083 \h </w:instrText>
            </w:r>
            <w:r w:rsidR="00F934A2">
              <w:rPr>
                <w:noProof/>
                <w:webHidden/>
              </w:rPr>
            </w:r>
            <w:r w:rsidR="00F934A2">
              <w:rPr>
                <w:noProof/>
                <w:webHidden/>
              </w:rPr>
              <w:fldChar w:fldCharType="separate"/>
            </w:r>
            <w:r w:rsidR="00F934A2">
              <w:rPr>
                <w:noProof/>
                <w:webHidden/>
              </w:rPr>
              <w:t>4</w:t>
            </w:r>
            <w:r w:rsidR="00F934A2">
              <w:rPr>
                <w:noProof/>
                <w:webHidden/>
              </w:rPr>
              <w:fldChar w:fldCharType="end"/>
            </w:r>
          </w:hyperlink>
        </w:p>
        <w:p w14:paraId="4EE0991E" w14:textId="4DD4231A" w:rsidR="00F934A2" w:rsidRDefault="00000000">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8457084" w:history="1">
            <w:r w:rsidR="00F934A2" w:rsidRPr="00FF26A1">
              <w:rPr>
                <w:rStyle w:val="Hyperlink"/>
                <w:noProof/>
              </w:rPr>
              <w:t>1.</w:t>
            </w:r>
            <w:r w:rsidR="00F934A2">
              <w:rPr>
                <w:rFonts w:asciiTheme="minorHAnsi" w:eastAsiaTheme="minorEastAsia" w:hAnsiTheme="minorHAnsi"/>
                <w:noProof/>
                <w:kern w:val="2"/>
                <w:lang w:eastAsia="fr-FR"/>
                <w14:ligatures w14:val="standardContextual"/>
              </w:rPr>
              <w:tab/>
            </w:r>
            <w:r w:rsidR="00F934A2" w:rsidRPr="00FF26A1">
              <w:rPr>
                <w:rStyle w:val="Hyperlink"/>
                <w:noProof/>
              </w:rPr>
              <w:t>Introduction</w:t>
            </w:r>
            <w:r w:rsidR="00F934A2">
              <w:rPr>
                <w:noProof/>
                <w:webHidden/>
              </w:rPr>
              <w:tab/>
            </w:r>
            <w:r w:rsidR="00F934A2">
              <w:rPr>
                <w:noProof/>
                <w:webHidden/>
              </w:rPr>
              <w:fldChar w:fldCharType="begin"/>
            </w:r>
            <w:r w:rsidR="00F934A2">
              <w:rPr>
                <w:noProof/>
                <w:webHidden/>
              </w:rPr>
              <w:instrText xml:space="preserve"> PAGEREF _Toc148457084 \h </w:instrText>
            </w:r>
            <w:r w:rsidR="00F934A2">
              <w:rPr>
                <w:noProof/>
                <w:webHidden/>
              </w:rPr>
            </w:r>
            <w:r w:rsidR="00F934A2">
              <w:rPr>
                <w:noProof/>
                <w:webHidden/>
              </w:rPr>
              <w:fldChar w:fldCharType="separate"/>
            </w:r>
            <w:r w:rsidR="00F934A2">
              <w:rPr>
                <w:noProof/>
                <w:webHidden/>
              </w:rPr>
              <w:t>5</w:t>
            </w:r>
            <w:r w:rsidR="00F934A2">
              <w:rPr>
                <w:noProof/>
                <w:webHidden/>
              </w:rPr>
              <w:fldChar w:fldCharType="end"/>
            </w:r>
          </w:hyperlink>
        </w:p>
        <w:p w14:paraId="195EF36F" w14:textId="5E5DFBA1" w:rsidR="00F934A2" w:rsidRDefault="00000000">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8457085" w:history="1">
            <w:r w:rsidR="00F934A2" w:rsidRPr="00FF26A1">
              <w:rPr>
                <w:rStyle w:val="Hyperlink"/>
                <w:noProof/>
              </w:rPr>
              <w:t>2.</w:t>
            </w:r>
            <w:r w:rsidR="00F934A2">
              <w:rPr>
                <w:rFonts w:asciiTheme="minorHAnsi" w:eastAsiaTheme="minorEastAsia" w:hAnsiTheme="minorHAnsi"/>
                <w:noProof/>
                <w:kern w:val="2"/>
                <w:lang w:eastAsia="fr-FR"/>
                <w14:ligatures w14:val="standardContextual"/>
              </w:rPr>
              <w:tab/>
            </w:r>
            <w:r w:rsidR="00F934A2" w:rsidRPr="00FF26A1">
              <w:rPr>
                <w:rStyle w:val="Hyperlink"/>
                <w:noProof/>
              </w:rPr>
              <w:t>Device description</w:t>
            </w:r>
            <w:r w:rsidR="00F934A2">
              <w:rPr>
                <w:noProof/>
                <w:webHidden/>
              </w:rPr>
              <w:tab/>
            </w:r>
            <w:r w:rsidR="00F934A2">
              <w:rPr>
                <w:noProof/>
                <w:webHidden/>
              </w:rPr>
              <w:fldChar w:fldCharType="begin"/>
            </w:r>
            <w:r w:rsidR="00F934A2">
              <w:rPr>
                <w:noProof/>
                <w:webHidden/>
              </w:rPr>
              <w:instrText xml:space="preserve"> PAGEREF _Toc148457085 \h </w:instrText>
            </w:r>
            <w:r w:rsidR="00F934A2">
              <w:rPr>
                <w:noProof/>
                <w:webHidden/>
              </w:rPr>
            </w:r>
            <w:r w:rsidR="00F934A2">
              <w:rPr>
                <w:noProof/>
                <w:webHidden/>
              </w:rPr>
              <w:fldChar w:fldCharType="separate"/>
            </w:r>
            <w:r w:rsidR="00F934A2">
              <w:rPr>
                <w:noProof/>
                <w:webHidden/>
              </w:rPr>
              <w:t>5</w:t>
            </w:r>
            <w:r w:rsidR="00F934A2">
              <w:rPr>
                <w:noProof/>
                <w:webHidden/>
              </w:rPr>
              <w:fldChar w:fldCharType="end"/>
            </w:r>
          </w:hyperlink>
        </w:p>
        <w:p w14:paraId="6AADB380" w14:textId="6E8D6DB7" w:rsidR="00F934A2" w:rsidRDefault="00000000">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8457086" w:history="1">
            <w:r w:rsidR="00F934A2" w:rsidRPr="00FF26A1">
              <w:rPr>
                <w:rStyle w:val="Hyperlink"/>
                <w:noProof/>
              </w:rPr>
              <w:t>3.</w:t>
            </w:r>
            <w:r w:rsidR="00F934A2">
              <w:rPr>
                <w:rFonts w:asciiTheme="minorHAnsi" w:eastAsiaTheme="minorEastAsia" w:hAnsiTheme="minorHAnsi"/>
                <w:noProof/>
                <w:kern w:val="2"/>
                <w:lang w:eastAsia="fr-FR"/>
                <w14:ligatures w14:val="standardContextual"/>
              </w:rPr>
              <w:tab/>
            </w:r>
            <w:r w:rsidR="00F934A2" w:rsidRPr="00FF26A1">
              <w:rPr>
                <w:rStyle w:val="Hyperlink"/>
                <w:noProof/>
              </w:rPr>
              <w:t>Labeling</w:t>
            </w:r>
            <w:r w:rsidR="00F934A2">
              <w:rPr>
                <w:noProof/>
                <w:webHidden/>
              </w:rPr>
              <w:tab/>
            </w:r>
            <w:r w:rsidR="00F934A2">
              <w:rPr>
                <w:noProof/>
                <w:webHidden/>
              </w:rPr>
              <w:fldChar w:fldCharType="begin"/>
            </w:r>
            <w:r w:rsidR="00F934A2">
              <w:rPr>
                <w:noProof/>
                <w:webHidden/>
              </w:rPr>
              <w:instrText xml:space="preserve"> PAGEREF _Toc148457086 \h </w:instrText>
            </w:r>
            <w:r w:rsidR="00F934A2">
              <w:rPr>
                <w:noProof/>
                <w:webHidden/>
              </w:rPr>
            </w:r>
            <w:r w:rsidR="00F934A2">
              <w:rPr>
                <w:noProof/>
                <w:webHidden/>
              </w:rPr>
              <w:fldChar w:fldCharType="separate"/>
            </w:r>
            <w:r w:rsidR="00F934A2">
              <w:rPr>
                <w:noProof/>
                <w:webHidden/>
              </w:rPr>
              <w:t>5</w:t>
            </w:r>
            <w:r w:rsidR="00F934A2">
              <w:rPr>
                <w:noProof/>
                <w:webHidden/>
              </w:rPr>
              <w:fldChar w:fldCharType="end"/>
            </w:r>
          </w:hyperlink>
        </w:p>
        <w:p w14:paraId="24CC2EF6" w14:textId="620C0A8C"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087" w:history="1">
            <w:r w:rsidR="00F934A2" w:rsidRPr="00FF26A1">
              <w:rPr>
                <w:rStyle w:val="Hyperlink"/>
                <w:noProof/>
              </w:rPr>
              <w:t>3.1.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Intended use</w:t>
            </w:r>
            <w:r w:rsidR="00F934A2">
              <w:rPr>
                <w:noProof/>
                <w:webHidden/>
              </w:rPr>
              <w:tab/>
            </w:r>
            <w:r w:rsidR="00F934A2">
              <w:rPr>
                <w:noProof/>
                <w:webHidden/>
              </w:rPr>
              <w:fldChar w:fldCharType="begin"/>
            </w:r>
            <w:r w:rsidR="00F934A2">
              <w:rPr>
                <w:noProof/>
                <w:webHidden/>
              </w:rPr>
              <w:instrText xml:space="preserve"> PAGEREF _Toc148457087 \h </w:instrText>
            </w:r>
            <w:r w:rsidR="00F934A2">
              <w:rPr>
                <w:noProof/>
                <w:webHidden/>
              </w:rPr>
            </w:r>
            <w:r w:rsidR="00F934A2">
              <w:rPr>
                <w:noProof/>
                <w:webHidden/>
              </w:rPr>
              <w:fldChar w:fldCharType="separate"/>
            </w:r>
            <w:r w:rsidR="00F934A2">
              <w:rPr>
                <w:noProof/>
                <w:webHidden/>
              </w:rPr>
              <w:t>5</w:t>
            </w:r>
            <w:r w:rsidR="00F934A2">
              <w:rPr>
                <w:noProof/>
                <w:webHidden/>
              </w:rPr>
              <w:fldChar w:fldCharType="end"/>
            </w:r>
          </w:hyperlink>
        </w:p>
        <w:p w14:paraId="483257B4" w14:textId="71582BA2"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088" w:history="1">
            <w:r w:rsidR="00F934A2" w:rsidRPr="00FF26A1">
              <w:rPr>
                <w:rStyle w:val="Hyperlink"/>
                <w:noProof/>
              </w:rPr>
              <w:t>3.2.</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Indication</w:t>
            </w:r>
            <w:r w:rsidR="00F934A2">
              <w:rPr>
                <w:noProof/>
                <w:webHidden/>
              </w:rPr>
              <w:tab/>
            </w:r>
            <w:r w:rsidR="00F934A2">
              <w:rPr>
                <w:noProof/>
                <w:webHidden/>
              </w:rPr>
              <w:fldChar w:fldCharType="begin"/>
            </w:r>
            <w:r w:rsidR="00F934A2">
              <w:rPr>
                <w:noProof/>
                <w:webHidden/>
              </w:rPr>
              <w:instrText xml:space="preserve"> PAGEREF _Toc148457088 \h </w:instrText>
            </w:r>
            <w:r w:rsidR="00F934A2">
              <w:rPr>
                <w:noProof/>
                <w:webHidden/>
              </w:rPr>
            </w:r>
            <w:r w:rsidR="00F934A2">
              <w:rPr>
                <w:noProof/>
                <w:webHidden/>
              </w:rPr>
              <w:fldChar w:fldCharType="separate"/>
            </w:r>
            <w:r w:rsidR="00F934A2">
              <w:rPr>
                <w:noProof/>
                <w:webHidden/>
              </w:rPr>
              <w:t>5</w:t>
            </w:r>
            <w:r w:rsidR="00F934A2">
              <w:rPr>
                <w:noProof/>
                <w:webHidden/>
              </w:rPr>
              <w:fldChar w:fldCharType="end"/>
            </w:r>
          </w:hyperlink>
        </w:p>
        <w:p w14:paraId="4E5B610B" w14:textId="33FABA9F"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089" w:history="1">
            <w:r w:rsidR="00F934A2" w:rsidRPr="00FF26A1">
              <w:rPr>
                <w:rStyle w:val="Hyperlink"/>
                <w:noProof/>
              </w:rPr>
              <w:t>3.3.</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Targeted patient population</w:t>
            </w:r>
            <w:r w:rsidR="00F934A2">
              <w:rPr>
                <w:noProof/>
                <w:webHidden/>
              </w:rPr>
              <w:tab/>
            </w:r>
            <w:r w:rsidR="00F934A2">
              <w:rPr>
                <w:noProof/>
                <w:webHidden/>
              </w:rPr>
              <w:fldChar w:fldCharType="begin"/>
            </w:r>
            <w:r w:rsidR="00F934A2">
              <w:rPr>
                <w:noProof/>
                <w:webHidden/>
              </w:rPr>
              <w:instrText xml:space="preserve"> PAGEREF _Toc148457089 \h </w:instrText>
            </w:r>
            <w:r w:rsidR="00F934A2">
              <w:rPr>
                <w:noProof/>
                <w:webHidden/>
              </w:rPr>
            </w:r>
            <w:r w:rsidR="00F934A2">
              <w:rPr>
                <w:noProof/>
                <w:webHidden/>
              </w:rPr>
              <w:fldChar w:fldCharType="separate"/>
            </w:r>
            <w:r w:rsidR="00F934A2">
              <w:rPr>
                <w:noProof/>
                <w:webHidden/>
              </w:rPr>
              <w:t>5</w:t>
            </w:r>
            <w:r w:rsidR="00F934A2">
              <w:rPr>
                <w:noProof/>
                <w:webHidden/>
              </w:rPr>
              <w:fldChar w:fldCharType="end"/>
            </w:r>
          </w:hyperlink>
        </w:p>
        <w:p w14:paraId="22A6B5DE" w14:textId="630E7B92"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090" w:history="1">
            <w:r w:rsidR="00F934A2" w:rsidRPr="00FF26A1">
              <w:rPr>
                <w:rStyle w:val="Hyperlink"/>
                <w:noProof/>
              </w:rPr>
              <w:t>3.4.</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Contra-indications</w:t>
            </w:r>
            <w:r w:rsidR="00F934A2">
              <w:rPr>
                <w:noProof/>
                <w:webHidden/>
              </w:rPr>
              <w:tab/>
            </w:r>
            <w:r w:rsidR="00F934A2">
              <w:rPr>
                <w:noProof/>
                <w:webHidden/>
              </w:rPr>
              <w:fldChar w:fldCharType="begin"/>
            </w:r>
            <w:r w:rsidR="00F934A2">
              <w:rPr>
                <w:noProof/>
                <w:webHidden/>
              </w:rPr>
              <w:instrText xml:space="preserve"> PAGEREF _Toc148457090 \h </w:instrText>
            </w:r>
            <w:r w:rsidR="00F934A2">
              <w:rPr>
                <w:noProof/>
                <w:webHidden/>
              </w:rPr>
            </w:r>
            <w:r w:rsidR="00F934A2">
              <w:rPr>
                <w:noProof/>
                <w:webHidden/>
              </w:rPr>
              <w:fldChar w:fldCharType="separate"/>
            </w:r>
            <w:r w:rsidR="00F934A2">
              <w:rPr>
                <w:noProof/>
                <w:webHidden/>
              </w:rPr>
              <w:t>5</w:t>
            </w:r>
            <w:r w:rsidR="00F934A2">
              <w:rPr>
                <w:noProof/>
                <w:webHidden/>
              </w:rPr>
              <w:fldChar w:fldCharType="end"/>
            </w:r>
          </w:hyperlink>
        </w:p>
        <w:p w14:paraId="709BDB70" w14:textId="1D732E67" w:rsidR="00F934A2" w:rsidRDefault="00000000">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8457091" w:history="1">
            <w:r w:rsidR="00F934A2" w:rsidRPr="00FF26A1">
              <w:rPr>
                <w:rStyle w:val="Hyperlink"/>
                <w:noProof/>
              </w:rPr>
              <w:t>4.</w:t>
            </w:r>
            <w:r w:rsidR="00F934A2">
              <w:rPr>
                <w:rFonts w:asciiTheme="minorHAnsi" w:eastAsiaTheme="minorEastAsia" w:hAnsiTheme="minorHAnsi"/>
                <w:noProof/>
                <w:kern w:val="2"/>
                <w:lang w:eastAsia="fr-FR"/>
                <w14:ligatures w14:val="standardContextual"/>
              </w:rPr>
              <w:tab/>
            </w:r>
            <w:r w:rsidR="00F934A2" w:rsidRPr="00FF26A1">
              <w:rPr>
                <w:rStyle w:val="Hyperlink"/>
                <w:noProof/>
              </w:rPr>
              <w:t>EU Regulatory strategy per (EU) 2017/745</w:t>
            </w:r>
            <w:r w:rsidR="00F934A2">
              <w:rPr>
                <w:noProof/>
                <w:webHidden/>
              </w:rPr>
              <w:tab/>
            </w:r>
            <w:r w:rsidR="00F934A2">
              <w:rPr>
                <w:noProof/>
                <w:webHidden/>
              </w:rPr>
              <w:fldChar w:fldCharType="begin"/>
            </w:r>
            <w:r w:rsidR="00F934A2">
              <w:rPr>
                <w:noProof/>
                <w:webHidden/>
              </w:rPr>
              <w:instrText xml:space="preserve"> PAGEREF _Toc148457091 \h </w:instrText>
            </w:r>
            <w:r w:rsidR="00F934A2">
              <w:rPr>
                <w:noProof/>
                <w:webHidden/>
              </w:rPr>
            </w:r>
            <w:r w:rsidR="00F934A2">
              <w:rPr>
                <w:noProof/>
                <w:webHidden/>
              </w:rPr>
              <w:fldChar w:fldCharType="separate"/>
            </w:r>
            <w:r w:rsidR="00F934A2">
              <w:rPr>
                <w:noProof/>
                <w:webHidden/>
              </w:rPr>
              <w:t>6</w:t>
            </w:r>
            <w:r w:rsidR="00F934A2">
              <w:rPr>
                <w:noProof/>
                <w:webHidden/>
              </w:rPr>
              <w:fldChar w:fldCharType="end"/>
            </w:r>
          </w:hyperlink>
        </w:p>
        <w:p w14:paraId="263E5711" w14:textId="78EFF2EE"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092" w:history="1">
            <w:r w:rsidR="00F934A2" w:rsidRPr="00FF26A1">
              <w:rPr>
                <w:rStyle w:val="Hyperlink"/>
                <w:noProof/>
              </w:rPr>
              <w:t>4.1.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Introduction</w:t>
            </w:r>
            <w:r w:rsidR="00F934A2">
              <w:rPr>
                <w:noProof/>
                <w:webHidden/>
              </w:rPr>
              <w:tab/>
            </w:r>
            <w:r w:rsidR="00F934A2">
              <w:rPr>
                <w:noProof/>
                <w:webHidden/>
              </w:rPr>
              <w:fldChar w:fldCharType="begin"/>
            </w:r>
            <w:r w:rsidR="00F934A2">
              <w:rPr>
                <w:noProof/>
                <w:webHidden/>
              </w:rPr>
              <w:instrText xml:space="preserve"> PAGEREF _Toc148457092 \h </w:instrText>
            </w:r>
            <w:r w:rsidR="00F934A2">
              <w:rPr>
                <w:noProof/>
                <w:webHidden/>
              </w:rPr>
            </w:r>
            <w:r w:rsidR="00F934A2">
              <w:rPr>
                <w:noProof/>
                <w:webHidden/>
              </w:rPr>
              <w:fldChar w:fldCharType="separate"/>
            </w:r>
            <w:r w:rsidR="00F934A2">
              <w:rPr>
                <w:noProof/>
                <w:webHidden/>
              </w:rPr>
              <w:t>6</w:t>
            </w:r>
            <w:r w:rsidR="00F934A2">
              <w:rPr>
                <w:noProof/>
                <w:webHidden/>
              </w:rPr>
              <w:fldChar w:fldCharType="end"/>
            </w:r>
          </w:hyperlink>
        </w:p>
        <w:p w14:paraId="409EF8EC" w14:textId="2B64498D"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093" w:history="1">
            <w:r w:rsidR="00F934A2" w:rsidRPr="00FF26A1">
              <w:rPr>
                <w:rStyle w:val="Hyperlink"/>
                <w:noProof/>
              </w:rPr>
              <w:t>4.2.</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Product qualification</w:t>
            </w:r>
            <w:r w:rsidR="00F934A2">
              <w:rPr>
                <w:noProof/>
                <w:webHidden/>
              </w:rPr>
              <w:tab/>
            </w:r>
            <w:r w:rsidR="00F934A2">
              <w:rPr>
                <w:noProof/>
                <w:webHidden/>
              </w:rPr>
              <w:fldChar w:fldCharType="begin"/>
            </w:r>
            <w:r w:rsidR="00F934A2">
              <w:rPr>
                <w:noProof/>
                <w:webHidden/>
              </w:rPr>
              <w:instrText xml:space="preserve"> PAGEREF _Toc148457093 \h </w:instrText>
            </w:r>
            <w:r w:rsidR="00F934A2">
              <w:rPr>
                <w:noProof/>
                <w:webHidden/>
              </w:rPr>
            </w:r>
            <w:r w:rsidR="00F934A2">
              <w:rPr>
                <w:noProof/>
                <w:webHidden/>
              </w:rPr>
              <w:fldChar w:fldCharType="separate"/>
            </w:r>
            <w:r w:rsidR="00F934A2">
              <w:rPr>
                <w:noProof/>
                <w:webHidden/>
              </w:rPr>
              <w:t>6</w:t>
            </w:r>
            <w:r w:rsidR="00F934A2">
              <w:rPr>
                <w:noProof/>
                <w:webHidden/>
              </w:rPr>
              <w:fldChar w:fldCharType="end"/>
            </w:r>
          </w:hyperlink>
        </w:p>
        <w:p w14:paraId="2DC05618" w14:textId="1ED31A65"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094" w:history="1">
            <w:r w:rsidR="00F934A2" w:rsidRPr="00FF26A1">
              <w:rPr>
                <w:rStyle w:val="Hyperlink"/>
                <w:noProof/>
              </w:rPr>
              <w:t>4.2.1.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Medical device qualification</w:t>
            </w:r>
            <w:r w:rsidR="00F934A2">
              <w:rPr>
                <w:noProof/>
                <w:webHidden/>
              </w:rPr>
              <w:tab/>
            </w:r>
            <w:r w:rsidR="00F934A2">
              <w:rPr>
                <w:noProof/>
                <w:webHidden/>
              </w:rPr>
              <w:fldChar w:fldCharType="begin"/>
            </w:r>
            <w:r w:rsidR="00F934A2">
              <w:rPr>
                <w:noProof/>
                <w:webHidden/>
              </w:rPr>
              <w:instrText xml:space="preserve"> PAGEREF _Toc148457094 \h </w:instrText>
            </w:r>
            <w:r w:rsidR="00F934A2">
              <w:rPr>
                <w:noProof/>
                <w:webHidden/>
              </w:rPr>
            </w:r>
            <w:r w:rsidR="00F934A2">
              <w:rPr>
                <w:noProof/>
                <w:webHidden/>
              </w:rPr>
              <w:fldChar w:fldCharType="separate"/>
            </w:r>
            <w:r w:rsidR="00F934A2">
              <w:rPr>
                <w:noProof/>
                <w:webHidden/>
              </w:rPr>
              <w:t>6</w:t>
            </w:r>
            <w:r w:rsidR="00F934A2">
              <w:rPr>
                <w:noProof/>
                <w:webHidden/>
              </w:rPr>
              <w:fldChar w:fldCharType="end"/>
            </w:r>
          </w:hyperlink>
        </w:p>
        <w:p w14:paraId="46B3A0D3" w14:textId="3327ED71"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095" w:history="1">
            <w:r w:rsidR="00F934A2" w:rsidRPr="00FF26A1">
              <w:rPr>
                <w:rStyle w:val="Hyperlink"/>
                <w:noProof/>
              </w:rPr>
              <w:t>4.2.2.</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Qualification of accessory for a medical device</w:t>
            </w:r>
            <w:r w:rsidR="00F934A2">
              <w:rPr>
                <w:noProof/>
                <w:webHidden/>
              </w:rPr>
              <w:tab/>
            </w:r>
            <w:r w:rsidR="00F934A2">
              <w:rPr>
                <w:noProof/>
                <w:webHidden/>
              </w:rPr>
              <w:fldChar w:fldCharType="begin"/>
            </w:r>
            <w:r w:rsidR="00F934A2">
              <w:rPr>
                <w:noProof/>
                <w:webHidden/>
              </w:rPr>
              <w:instrText xml:space="preserve"> PAGEREF _Toc148457095 \h </w:instrText>
            </w:r>
            <w:r w:rsidR="00F934A2">
              <w:rPr>
                <w:noProof/>
                <w:webHidden/>
              </w:rPr>
            </w:r>
            <w:r w:rsidR="00F934A2">
              <w:rPr>
                <w:noProof/>
                <w:webHidden/>
              </w:rPr>
              <w:fldChar w:fldCharType="separate"/>
            </w:r>
            <w:r w:rsidR="00F934A2">
              <w:rPr>
                <w:noProof/>
                <w:webHidden/>
              </w:rPr>
              <w:t>6</w:t>
            </w:r>
            <w:r w:rsidR="00F934A2">
              <w:rPr>
                <w:noProof/>
                <w:webHidden/>
              </w:rPr>
              <w:fldChar w:fldCharType="end"/>
            </w:r>
          </w:hyperlink>
        </w:p>
        <w:p w14:paraId="742D8AC7" w14:textId="567766D2"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096" w:history="1">
            <w:r w:rsidR="00F934A2" w:rsidRPr="00FF26A1">
              <w:rPr>
                <w:rStyle w:val="Hyperlink"/>
                <w:noProof/>
              </w:rPr>
              <w:t>4.2.1.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Custom-made device qualification</w:t>
            </w:r>
            <w:r w:rsidR="00F934A2">
              <w:rPr>
                <w:noProof/>
                <w:webHidden/>
              </w:rPr>
              <w:tab/>
            </w:r>
            <w:r w:rsidR="00F934A2">
              <w:rPr>
                <w:noProof/>
                <w:webHidden/>
              </w:rPr>
              <w:fldChar w:fldCharType="begin"/>
            </w:r>
            <w:r w:rsidR="00F934A2">
              <w:rPr>
                <w:noProof/>
                <w:webHidden/>
              </w:rPr>
              <w:instrText xml:space="preserve"> PAGEREF _Toc148457096 \h </w:instrText>
            </w:r>
            <w:r w:rsidR="00F934A2">
              <w:rPr>
                <w:noProof/>
                <w:webHidden/>
              </w:rPr>
            </w:r>
            <w:r w:rsidR="00F934A2">
              <w:rPr>
                <w:noProof/>
                <w:webHidden/>
              </w:rPr>
              <w:fldChar w:fldCharType="separate"/>
            </w:r>
            <w:r w:rsidR="00F934A2">
              <w:rPr>
                <w:noProof/>
                <w:webHidden/>
              </w:rPr>
              <w:t>7</w:t>
            </w:r>
            <w:r w:rsidR="00F934A2">
              <w:rPr>
                <w:noProof/>
                <w:webHidden/>
              </w:rPr>
              <w:fldChar w:fldCharType="end"/>
            </w:r>
          </w:hyperlink>
        </w:p>
        <w:p w14:paraId="1231E31D" w14:textId="7561A86C"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097" w:history="1">
            <w:r w:rsidR="00F934A2" w:rsidRPr="00FF26A1">
              <w:rPr>
                <w:rStyle w:val="Hyperlink"/>
                <w:noProof/>
              </w:rPr>
              <w:t>4.2.1.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Qualification of system or procedure pack</w:t>
            </w:r>
            <w:r w:rsidR="00F934A2">
              <w:rPr>
                <w:noProof/>
                <w:webHidden/>
              </w:rPr>
              <w:tab/>
            </w:r>
            <w:r w:rsidR="00F934A2">
              <w:rPr>
                <w:noProof/>
                <w:webHidden/>
              </w:rPr>
              <w:fldChar w:fldCharType="begin"/>
            </w:r>
            <w:r w:rsidR="00F934A2">
              <w:rPr>
                <w:noProof/>
                <w:webHidden/>
              </w:rPr>
              <w:instrText xml:space="preserve"> PAGEREF _Toc148457097 \h </w:instrText>
            </w:r>
            <w:r w:rsidR="00F934A2">
              <w:rPr>
                <w:noProof/>
                <w:webHidden/>
              </w:rPr>
            </w:r>
            <w:r w:rsidR="00F934A2">
              <w:rPr>
                <w:noProof/>
                <w:webHidden/>
              </w:rPr>
              <w:fldChar w:fldCharType="separate"/>
            </w:r>
            <w:r w:rsidR="00F934A2">
              <w:rPr>
                <w:noProof/>
                <w:webHidden/>
              </w:rPr>
              <w:t>7</w:t>
            </w:r>
            <w:r w:rsidR="00F934A2">
              <w:rPr>
                <w:noProof/>
                <w:webHidden/>
              </w:rPr>
              <w:fldChar w:fldCharType="end"/>
            </w:r>
          </w:hyperlink>
        </w:p>
        <w:p w14:paraId="1EE29BE4" w14:textId="1340DDD8"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098" w:history="1">
            <w:r w:rsidR="00F934A2" w:rsidRPr="00FF26A1">
              <w:rPr>
                <w:rStyle w:val="Hyperlink"/>
                <w:noProof/>
              </w:rPr>
              <w:t>4.2.2.</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Qualification of parts or components</w:t>
            </w:r>
            <w:r w:rsidR="00F934A2">
              <w:rPr>
                <w:noProof/>
                <w:webHidden/>
              </w:rPr>
              <w:tab/>
            </w:r>
            <w:r w:rsidR="00F934A2">
              <w:rPr>
                <w:noProof/>
                <w:webHidden/>
              </w:rPr>
              <w:fldChar w:fldCharType="begin"/>
            </w:r>
            <w:r w:rsidR="00F934A2">
              <w:rPr>
                <w:noProof/>
                <w:webHidden/>
              </w:rPr>
              <w:instrText xml:space="preserve"> PAGEREF _Toc148457098 \h </w:instrText>
            </w:r>
            <w:r w:rsidR="00F934A2">
              <w:rPr>
                <w:noProof/>
                <w:webHidden/>
              </w:rPr>
            </w:r>
            <w:r w:rsidR="00F934A2">
              <w:rPr>
                <w:noProof/>
                <w:webHidden/>
              </w:rPr>
              <w:fldChar w:fldCharType="separate"/>
            </w:r>
            <w:r w:rsidR="00F934A2">
              <w:rPr>
                <w:noProof/>
                <w:webHidden/>
              </w:rPr>
              <w:t>7</w:t>
            </w:r>
            <w:r w:rsidR="00F934A2">
              <w:rPr>
                <w:noProof/>
                <w:webHidden/>
              </w:rPr>
              <w:fldChar w:fldCharType="end"/>
            </w:r>
          </w:hyperlink>
        </w:p>
        <w:p w14:paraId="768330D3" w14:textId="25F4E4A5"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099" w:history="1">
            <w:r w:rsidR="00F934A2" w:rsidRPr="00FF26A1">
              <w:rPr>
                <w:rStyle w:val="Hyperlink"/>
                <w:noProof/>
              </w:rPr>
              <w:t>4.2.3.</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Investigational device qualification</w:t>
            </w:r>
            <w:r w:rsidR="00F934A2">
              <w:rPr>
                <w:noProof/>
                <w:webHidden/>
              </w:rPr>
              <w:tab/>
            </w:r>
            <w:r w:rsidR="00F934A2">
              <w:rPr>
                <w:noProof/>
                <w:webHidden/>
              </w:rPr>
              <w:fldChar w:fldCharType="begin"/>
            </w:r>
            <w:r w:rsidR="00F934A2">
              <w:rPr>
                <w:noProof/>
                <w:webHidden/>
              </w:rPr>
              <w:instrText xml:space="preserve"> PAGEREF _Toc148457099 \h </w:instrText>
            </w:r>
            <w:r w:rsidR="00F934A2">
              <w:rPr>
                <w:noProof/>
                <w:webHidden/>
              </w:rPr>
            </w:r>
            <w:r w:rsidR="00F934A2">
              <w:rPr>
                <w:noProof/>
                <w:webHidden/>
              </w:rPr>
              <w:fldChar w:fldCharType="separate"/>
            </w:r>
            <w:r w:rsidR="00F934A2">
              <w:rPr>
                <w:noProof/>
                <w:webHidden/>
              </w:rPr>
              <w:t>8</w:t>
            </w:r>
            <w:r w:rsidR="00F934A2">
              <w:rPr>
                <w:noProof/>
                <w:webHidden/>
              </w:rPr>
              <w:fldChar w:fldCharType="end"/>
            </w:r>
          </w:hyperlink>
        </w:p>
        <w:p w14:paraId="21F4F4EE" w14:textId="09839898"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00" w:history="1">
            <w:r w:rsidR="00F934A2" w:rsidRPr="00FF26A1">
              <w:rPr>
                <w:rStyle w:val="Hyperlink"/>
                <w:noProof/>
              </w:rPr>
              <w:t>4.2.4.</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Qualification of device without an intended medical purpose</w:t>
            </w:r>
            <w:r w:rsidR="00F934A2">
              <w:rPr>
                <w:noProof/>
                <w:webHidden/>
              </w:rPr>
              <w:tab/>
            </w:r>
            <w:r w:rsidR="00F934A2">
              <w:rPr>
                <w:noProof/>
                <w:webHidden/>
              </w:rPr>
              <w:fldChar w:fldCharType="begin"/>
            </w:r>
            <w:r w:rsidR="00F934A2">
              <w:rPr>
                <w:noProof/>
                <w:webHidden/>
              </w:rPr>
              <w:instrText xml:space="preserve"> PAGEREF _Toc148457100 \h </w:instrText>
            </w:r>
            <w:r w:rsidR="00F934A2">
              <w:rPr>
                <w:noProof/>
                <w:webHidden/>
              </w:rPr>
            </w:r>
            <w:r w:rsidR="00F934A2">
              <w:rPr>
                <w:noProof/>
                <w:webHidden/>
              </w:rPr>
              <w:fldChar w:fldCharType="separate"/>
            </w:r>
            <w:r w:rsidR="00F934A2">
              <w:rPr>
                <w:noProof/>
                <w:webHidden/>
              </w:rPr>
              <w:t>8</w:t>
            </w:r>
            <w:r w:rsidR="00F934A2">
              <w:rPr>
                <w:noProof/>
                <w:webHidden/>
              </w:rPr>
              <w:fldChar w:fldCharType="end"/>
            </w:r>
          </w:hyperlink>
        </w:p>
        <w:p w14:paraId="4D65260D" w14:textId="17A4961A"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01" w:history="1">
            <w:r w:rsidR="00F934A2" w:rsidRPr="00FF26A1">
              <w:rPr>
                <w:rStyle w:val="Hyperlink"/>
                <w:noProof/>
              </w:rPr>
              <w:t>4.2.5.</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Qualification of combination product</w:t>
            </w:r>
            <w:r w:rsidR="00F934A2">
              <w:rPr>
                <w:noProof/>
                <w:webHidden/>
              </w:rPr>
              <w:tab/>
            </w:r>
            <w:r w:rsidR="00F934A2">
              <w:rPr>
                <w:noProof/>
                <w:webHidden/>
              </w:rPr>
              <w:fldChar w:fldCharType="begin"/>
            </w:r>
            <w:r w:rsidR="00F934A2">
              <w:rPr>
                <w:noProof/>
                <w:webHidden/>
              </w:rPr>
              <w:instrText xml:space="preserve"> PAGEREF _Toc148457101 \h </w:instrText>
            </w:r>
            <w:r w:rsidR="00F934A2">
              <w:rPr>
                <w:noProof/>
                <w:webHidden/>
              </w:rPr>
            </w:r>
            <w:r w:rsidR="00F934A2">
              <w:rPr>
                <w:noProof/>
                <w:webHidden/>
              </w:rPr>
              <w:fldChar w:fldCharType="separate"/>
            </w:r>
            <w:r w:rsidR="00F934A2">
              <w:rPr>
                <w:noProof/>
                <w:webHidden/>
              </w:rPr>
              <w:t>9</w:t>
            </w:r>
            <w:r w:rsidR="00F934A2">
              <w:rPr>
                <w:noProof/>
                <w:webHidden/>
              </w:rPr>
              <w:fldChar w:fldCharType="end"/>
            </w:r>
          </w:hyperlink>
        </w:p>
        <w:p w14:paraId="3C71A786" w14:textId="4FAC0A79"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102" w:history="1">
            <w:r w:rsidR="00F934A2" w:rsidRPr="00FF26A1">
              <w:rPr>
                <w:rStyle w:val="Hyperlink"/>
                <w:noProof/>
              </w:rPr>
              <w:t>4.3.</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Device classification</w:t>
            </w:r>
            <w:r w:rsidR="00F934A2">
              <w:rPr>
                <w:noProof/>
                <w:webHidden/>
              </w:rPr>
              <w:tab/>
            </w:r>
            <w:r w:rsidR="00F934A2">
              <w:rPr>
                <w:noProof/>
                <w:webHidden/>
              </w:rPr>
              <w:fldChar w:fldCharType="begin"/>
            </w:r>
            <w:r w:rsidR="00F934A2">
              <w:rPr>
                <w:noProof/>
                <w:webHidden/>
              </w:rPr>
              <w:instrText xml:space="preserve"> PAGEREF _Toc148457102 \h </w:instrText>
            </w:r>
            <w:r w:rsidR="00F934A2">
              <w:rPr>
                <w:noProof/>
                <w:webHidden/>
              </w:rPr>
            </w:r>
            <w:r w:rsidR="00F934A2">
              <w:rPr>
                <w:noProof/>
                <w:webHidden/>
              </w:rPr>
              <w:fldChar w:fldCharType="separate"/>
            </w:r>
            <w:r w:rsidR="00F934A2">
              <w:rPr>
                <w:noProof/>
                <w:webHidden/>
              </w:rPr>
              <w:t>9</w:t>
            </w:r>
            <w:r w:rsidR="00F934A2">
              <w:rPr>
                <w:noProof/>
                <w:webHidden/>
              </w:rPr>
              <w:fldChar w:fldCharType="end"/>
            </w:r>
          </w:hyperlink>
        </w:p>
        <w:p w14:paraId="6F34A19C" w14:textId="321F747B"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03" w:history="1">
            <w:r w:rsidR="00F934A2" w:rsidRPr="00FF26A1">
              <w:rPr>
                <w:rStyle w:val="Hyperlink"/>
                <w:noProof/>
              </w:rPr>
              <w:t>4.3.1.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Device characteristics</w:t>
            </w:r>
            <w:r w:rsidR="00F934A2">
              <w:rPr>
                <w:noProof/>
                <w:webHidden/>
              </w:rPr>
              <w:tab/>
            </w:r>
            <w:r w:rsidR="00F934A2">
              <w:rPr>
                <w:noProof/>
                <w:webHidden/>
              </w:rPr>
              <w:fldChar w:fldCharType="begin"/>
            </w:r>
            <w:r w:rsidR="00F934A2">
              <w:rPr>
                <w:noProof/>
                <w:webHidden/>
              </w:rPr>
              <w:instrText xml:space="preserve"> PAGEREF _Toc148457103 \h </w:instrText>
            </w:r>
            <w:r w:rsidR="00F934A2">
              <w:rPr>
                <w:noProof/>
                <w:webHidden/>
              </w:rPr>
            </w:r>
            <w:r w:rsidR="00F934A2">
              <w:rPr>
                <w:noProof/>
                <w:webHidden/>
              </w:rPr>
              <w:fldChar w:fldCharType="separate"/>
            </w:r>
            <w:r w:rsidR="00F934A2">
              <w:rPr>
                <w:noProof/>
                <w:webHidden/>
              </w:rPr>
              <w:t>9</w:t>
            </w:r>
            <w:r w:rsidR="00F934A2">
              <w:rPr>
                <w:noProof/>
                <w:webHidden/>
              </w:rPr>
              <w:fldChar w:fldCharType="end"/>
            </w:r>
          </w:hyperlink>
        </w:p>
        <w:p w14:paraId="5128C705" w14:textId="17CF5B4B"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04" w:history="1">
            <w:r w:rsidR="00F934A2" w:rsidRPr="00FF26A1">
              <w:rPr>
                <w:rStyle w:val="Hyperlink"/>
                <w:noProof/>
              </w:rPr>
              <w:t>4.3.2.</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Classification rationale</w:t>
            </w:r>
            <w:r w:rsidR="00F934A2">
              <w:rPr>
                <w:noProof/>
                <w:webHidden/>
              </w:rPr>
              <w:tab/>
            </w:r>
            <w:r w:rsidR="00F934A2">
              <w:rPr>
                <w:noProof/>
                <w:webHidden/>
              </w:rPr>
              <w:fldChar w:fldCharType="begin"/>
            </w:r>
            <w:r w:rsidR="00F934A2">
              <w:rPr>
                <w:noProof/>
                <w:webHidden/>
              </w:rPr>
              <w:instrText xml:space="preserve"> PAGEREF _Toc148457104 \h </w:instrText>
            </w:r>
            <w:r w:rsidR="00F934A2">
              <w:rPr>
                <w:noProof/>
                <w:webHidden/>
              </w:rPr>
            </w:r>
            <w:r w:rsidR="00F934A2">
              <w:rPr>
                <w:noProof/>
                <w:webHidden/>
              </w:rPr>
              <w:fldChar w:fldCharType="separate"/>
            </w:r>
            <w:r w:rsidR="00F934A2">
              <w:rPr>
                <w:noProof/>
                <w:webHidden/>
              </w:rPr>
              <w:t>10</w:t>
            </w:r>
            <w:r w:rsidR="00F934A2">
              <w:rPr>
                <w:noProof/>
                <w:webHidden/>
              </w:rPr>
              <w:fldChar w:fldCharType="end"/>
            </w:r>
          </w:hyperlink>
        </w:p>
        <w:p w14:paraId="2467F3A5" w14:textId="4D3DF49C"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05" w:history="1">
            <w:r w:rsidR="00F934A2" w:rsidRPr="00FF26A1">
              <w:rPr>
                <w:rStyle w:val="Hyperlink"/>
                <w:noProof/>
              </w:rPr>
              <w:t>4.3.3.</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Classification conclusion</w:t>
            </w:r>
            <w:r w:rsidR="00F934A2">
              <w:rPr>
                <w:noProof/>
                <w:webHidden/>
              </w:rPr>
              <w:tab/>
            </w:r>
            <w:r w:rsidR="00F934A2">
              <w:rPr>
                <w:noProof/>
                <w:webHidden/>
              </w:rPr>
              <w:fldChar w:fldCharType="begin"/>
            </w:r>
            <w:r w:rsidR="00F934A2">
              <w:rPr>
                <w:noProof/>
                <w:webHidden/>
              </w:rPr>
              <w:instrText xml:space="preserve"> PAGEREF _Toc148457105 \h </w:instrText>
            </w:r>
            <w:r w:rsidR="00F934A2">
              <w:rPr>
                <w:noProof/>
                <w:webHidden/>
              </w:rPr>
            </w:r>
            <w:r w:rsidR="00F934A2">
              <w:rPr>
                <w:noProof/>
                <w:webHidden/>
              </w:rPr>
              <w:fldChar w:fldCharType="separate"/>
            </w:r>
            <w:r w:rsidR="00F934A2">
              <w:rPr>
                <w:noProof/>
                <w:webHidden/>
              </w:rPr>
              <w:t>17</w:t>
            </w:r>
            <w:r w:rsidR="00F934A2">
              <w:rPr>
                <w:noProof/>
                <w:webHidden/>
              </w:rPr>
              <w:fldChar w:fldCharType="end"/>
            </w:r>
          </w:hyperlink>
        </w:p>
        <w:p w14:paraId="42FAB8D7" w14:textId="19DAD81D"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106" w:history="1">
            <w:r w:rsidR="00F934A2" w:rsidRPr="00FF26A1">
              <w:rPr>
                <w:rStyle w:val="Hyperlink"/>
                <w:noProof/>
              </w:rPr>
              <w:t>4.4.</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Conformity assessment route</w:t>
            </w:r>
            <w:r w:rsidR="00F934A2">
              <w:rPr>
                <w:noProof/>
                <w:webHidden/>
              </w:rPr>
              <w:tab/>
            </w:r>
            <w:r w:rsidR="00F934A2">
              <w:rPr>
                <w:noProof/>
                <w:webHidden/>
              </w:rPr>
              <w:fldChar w:fldCharType="begin"/>
            </w:r>
            <w:r w:rsidR="00F934A2">
              <w:rPr>
                <w:noProof/>
                <w:webHidden/>
              </w:rPr>
              <w:instrText xml:space="preserve"> PAGEREF _Toc148457106 \h </w:instrText>
            </w:r>
            <w:r w:rsidR="00F934A2">
              <w:rPr>
                <w:noProof/>
                <w:webHidden/>
              </w:rPr>
            </w:r>
            <w:r w:rsidR="00F934A2">
              <w:rPr>
                <w:noProof/>
                <w:webHidden/>
              </w:rPr>
              <w:fldChar w:fldCharType="separate"/>
            </w:r>
            <w:r w:rsidR="00F934A2">
              <w:rPr>
                <w:noProof/>
                <w:webHidden/>
              </w:rPr>
              <w:t>17</w:t>
            </w:r>
            <w:r w:rsidR="00F934A2">
              <w:rPr>
                <w:noProof/>
                <w:webHidden/>
              </w:rPr>
              <w:fldChar w:fldCharType="end"/>
            </w:r>
          </w:hyperlink>
        </w:p>
        <w:p w14:paraId="2791D6EA" w14:textId="42ECE223"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07" w:history="1">
            <w:r w:rsidR="00F934A2" w:rsidRPr="00FF26A1">
              <w:rPr>
                <w:rStyle w:val="Hyperlink"/>
                <w:noProof/>
              </w:rPr>
              <w:t>4.4.1.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Conformity assessment options</w:t>
            </w:r>
            <w:r w:rsidR="00F934A2">
              <w:rPr>
                <w:noProof/>
                <w:webHidden/>
              </w:rPr>
              <w:tab/>
            </w:r>
            <w:r w:rsidR="00F934A2">
              <w:rPr>
                <w:noProof/>
                <w:webHidden/>
              </w:rPr>
              <w:fldChar w:fldCharType="begin"/>
            </w:r>
            <w:r w:rsidR="00F934A2">
              <w:rPr>
                <w:noProof/>
                <w:webHidden/>
              </w:rPr>
              <w:instrText xml:space="preserve"> PAGEREF _Toc148457107 \h </w:instrText>
            </w:r>
            <w:r w:rsidR="00F934A2">
              <w:rPr>
                <w:noProof/>
                <w:webHidden/>
              </w:rPr>
            </w:r>
            <w:r w:rsidR="00F934A2">
              <w:rPr>
                <w:noProof/>
                <w:webHidden/>
              </w:rPr>
              <w:fldChar w:fldCharType="separate"/>
            </w:r>
            <w:r w:rsidR="00F934A2">
              <w:rPr>
                <w:noProof/>
                <w:webHidden/>
              </w:rPr>
              <w:t>17</w:t>
            </w:r>
            <w:r w:rsidR="00F934A2">
              <w:rPr>
                <w:noProof/>
                <w:webHidden/>
              </w:rPr>
              <w:fldChar w:fldCharType="end"/>
            </w:r>
          </w:hyperlink>
        </w:p>
        <w:p w14:paraId="20EE9B70" w14:textId="2A98682D"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08" w:history="1">
            <w:r w:rsidR="00F934A2" w:rsidRPr="00FF26A1">
              <w:rPr>
                <w:rStyle w:val="Hyperlink"/>
                <w:noProof/>
              </w:rPr>
              <w:t>4.4.2.</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Conformity assessment selected</w:t>
            </w:r>
            <w:r w:rsidR="00F934A2">
              <w:rPr>
                <w:noProof/>
                <w:webHidden/>
              </w:rPr>
              <w:tab/>
            </w:r>
            <w:r w:rsidR="00F934A2">
              <w:rPr>
                <w:noProof/>
                <w:webHidden/>
              </w:rPr>
              <w:fldChar w:fldCharType="begin"/>
            </w:r>
            <w:r w:rsidR="00F934A2">
              <w:rPr>
                <w:noProof/>
                <w:webHidden/>
              </w:rPr>
              <w:instrText xml:space="preserve"> PAGEREF _Toc148457108 \h </w:instrText>
            </w:r>
            <w:r w:rsidR="00F934A2">
              <w:rPr>
                <w:noProof/>
                <w:webHidden/>
              </w:rPr>
            </w:r>
            <w:r w:rsidR="00F934A2">
              <w:rPr>
                <w:noProof/>
                <w:webHidden/>
              </w:rPr>
              <w:fldChar w:fldCharType="separate"/>
            </w:r>
            <w:r w:rsidR="00F934A2">
              <w:rPr>
                <w:noProof/>
                <w:webHidden/>
              </w:rPr>
              <w:t>20</w:t>
            </w:r>
            <w:r w:rsidR="00F934A2">
              <w:rPr>
                <w:noProof/>
                <w:webHidden/>
              </w:rPr>
              <w:fldChar w:fldCharType="end"/>
            </w:r>
          </w:hyperlink>
        </w:p>
        <w:p w14:paraId="7CCDD5A6" w14:textId="5546D092" w:rsidR="00F934A2" w:rsidRDefault="00000000">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8457109" w:history="1">
            <w:r w:rsidR="00F934A2" w:rsidRPr="00FF26A1">
              <w:rPr>
                <w:rStyle w:val="Hyperlink"/>
                <w:noProof/>
              </w:rPr>
              <w:t>4.5.</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Applicable requirements</w:t>
            </w:r>
            <w:r w:rsidR="00F934A2">
              <w:rPr>
                <w:noProof/>
                <w:webHidden/>
              </w:rPr>
              <w:tab/>
            </w:r>
            <w:r w:rsidR="00F934A2">
              <w:rPr>
                <w:noProof/>
                <w:webHidden/>
              </w:rPr>
              <w:fldChar w:fldCharType="begin"/>
            </w:r>
            <w:r w:rsidR="00F934A2">
              <w:rPr>
                <w:noProof/>
                <w:webHidden/>
              </w:rPr>
              <w:instrText xml:space="preserve"> PAGEREF _Toc148457109 \h </w:instrText>
            </w:r>
            <w:r w:rsidR="00F934A2">
              <w:rPr>
                <w:noProof/>
                <w:webHidden/>
              </w:rPr>
            </w:r>
            <w:r w:rsidR="00F934A2">
              <w:rPr>
                <w:noProof/>
                <w:webHidden/>
              </w:rPr>
              <w:fldChar w:fldCharType="separate"/>
            </w:r>
            <w:r w:rsidR="00F934A2">
              <w:rPr>
                <w:noProof/>
                <w:webHidden/>
              </w:rPr>
              <w:t>20</w:t>
            </w:r>
            <w:r w:rsidR="00F934A2">
              <w:rPr>
                <w:noProof/>
                <w:webHidden/>
              </w:rPr>
              <w:fldChar w:fldCharType="end"/>
            </w:r>
          </w:hyperlink>
        </w:p>
        <w:p w14:paraId="7F8A49D2" w14:textId="372B6D90"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10" w:history="1">
            <w:r w:rsidR="00F934A2" w:rsidRPr="00FF26A1">
              <w:rPr>
                <w:rStyle w:val="Hyperlink"/>
                <w:noProof/>
              </w:rPr>
              <w:t>4.5.1.</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General requirements</w:t>
            </w:r>
            <w:r w:rsidR="00F934A2">
              <w:rPr>
                <w:noProof/>
                <w:webHidden/>
              </w:rPr>
              <w:tab/>
            </w:r>
            <w:r w:rsidR="00F934A2">
              <w:rPr>
                <w:noProof/>
                <w:webHidden/>
              </w:rPr>
              <w:fldChar w:fldCharType="begin"/>
            </w:r>
            <w:r w:rsidR="00F934A2">
              <w:rPr>
                <w:noProof/>
                <w:webHidden/>
              </w:rPr>
              <w:instrText xml:space="preserve"> PAGEREF _Toc148457110 \h </w:instrText>
            </w:r>
            <w:r w:rsidR="00F934A2">
              <w:rPr>
                <w:noProof/>
                <w:webHidden/>
              </w:rPr>
            </w:r>
            <w:r w:rsidR="00F934A2">
              <w:rPr>
                <w:noProof/>
                <w:webHidden/>
              </w:rPr>
              <w:fldChar w:fldCharType="separate"/>
            </w:r>
            <w:r w:rsidR="00F934A2">
              <w:rPr>
                <w:noProof/>
                <w:webHidden/>
              </w:rPr>
              <w:t>20</w:t>
            </w:r>
            <w:r w:rsidR="00F934A2">
              <w:rPr>
                <w:noProof/>
                <w:webHidden/>
              </w:rPr>
              <w:fldChar w:fldCharType="end"/>
            </w:r>
          </w:hyperlink>
        </w:p>
        <w:p w14:paraId="773EFBB1" w14:textId="0E387D9D" w:rsidR="00F934A2" w:rsidRDefault="00000000">
          <w:pPr>
            <w:pStyle w:val="TOC3"/>
            <w:tabs>
              <w:tab w:val="left" w:pos="1320"/>
              <w:tab w:val="right" w:leader="dot" w:pos="9912"/>
            </w:tabs>
            <w:rPr>
              <w:rFonts w:asciiTheme="minorHAnsi" w:eastAsiaTheme="minorEastAsia" w:hAnsiTheme="minorHAnsi"/>
              <w:noProof/>
              <w:kern w:val="2"/>
              <w:lang w:val="fr-FR" w:eastAsia="fr-FR"/>
              <w14:ligatures w14:val="standardContextual"/>
            </w:rPr>
          </w:pPr>
          <w:hyperlink w:anchor="_Toc148457111" w:history="1">
            <w:r w:rsidR="00F934A2" w:rsidRPr="00FF26A1">
              <w:rPr>
                <w:rStyle w:val="Hyperlink"/>
                <w:noProof/>
              </w:rPr>
              <w:t>4.5.2.</w:t>
            </w:r>
            <w:r w:rsidR="00F934A2">
              <w:rPr>
                <w:rFonts w:asciiTheme="minorHAnsi" w:eastAsiaTheme="minorEastAsia" w:hAnsiTheme="minorHAnsi"/>
                <w:noProof/>
                <w:kern w:val="2"/>
                <w:lang w:val="fr-FR" w:eastAsia="fr-FR"/>
                <w14:ligatures w14:val="standardContextual"/>
              </w:rPr>
              <w:tab/>
            </w:r>
            <w:r w:rsidR="00F934A2" w:rsidRPr="00FF26A1">
              <w:rPr>
                <w:rStyle w:val="Hyperlink"/>
                <w:noProof/>
              </w:rPr>
              <w:t>Specific requirements</w:t>
            </w:r>
            <w:r w:rsidR="00F934A2">
              <w:rPr>
                <w:noProof/>
                <w:webHidden/>
              </w:rPr>
              <w:tab/>
            </w:r>
            <w:r w:rsidR="00F934A2">
              <w:rPr>
                <w:noProof/>
                <w:webHidden/>
              </w:rPr>
              <w:fldChar w:fldCharType="begin"/>
            </w:r>
            <w:r w:rsidR="00F934A2">
              <w:rPr>
                <w:noProof/>
                <w:webHidden/>
              </w:rPr>
              <w:instrText xml:space="preserve"> PAGEREF _Toc148457111 \h </w:instrText>
            </w:r>
            <w:r w:rsidR="00F934A2">
              <w:rPr>
                <w:noProof/>
                <w:webHidden/>
              </w:rPr>
            </w:r>
            <w:r w:rsidR="00F934A2">
              <w:rPr>
                <w:noProof/>
                <w:webHidden/>
              </w:rPr>
              <w:fldChar w:fldCharType="separate"/>
            </w:r>
            <w:r w:rsidR="00F934A2">
              <w:rPr>
                <w:noProof/>
                <w:webHidden/>
              </w:rPr>
              <w:t>21</w:t>
            </w:r>
            <w:r w:rsidR="00F934A2">
              <w:rPr>
                <w:noProof/>
                <w:webHidden/>
              </w:rPr>
              <w:fldChar w:fldCharType="end"/>
            </w:r>
          </w:hyperlink>
        </w:p>
        <w:p w14:paraId="131AEC4A" w14:textId="464A9FA0" w:rsidR="00E65CE7" w:rsidRDefault="00E65CE7">
          <w:r>
            <w:rPr>
              <w:b/>
              <w:bCs/>
              <w:noProof/>
            </w:rPr>
            <w:fldChar w:fldCharType="end"/>
          </w:r>
        </w:p>
      </w:sdtContent>
    </w:sdt>
    <w:p w14:paraId="5E3B7CFB" w14:textId="77777777" w:rsidR="00E62F06" w:rsidRDefault="00E62F06" w:rsidP="00E62F06"/>
    <w:p w14:paraId="238F93A3" w14:textId="77777777" w:rsidR="00E65CE7" w:rsidRDefault="00E65CE7" w:rsidP="00EC1FC0">
      <w:pPr>
        <w:pStyle w:val="Heading1"/>
        <w:numPr>
          <w:ilvl w:val="0"/>
          <w:numId w:val="0"/>
        </w:numPr>
        <w:ind w:left="432" w:hanging="432"/>
      </w:pPr>
      <w:r>
        <w:br w:type="page"/>
      </w:r>
    </w:p>
    <w:p w14:paraId="2B36A09F" w14:textId="026CD0B6" w:rsidR="00A062C2" w:rsidRDefault="00EC1FC0" w:rsidP="00EC1FC0">
      <w:pPr>
        <w:pStyle w:val="Heading1"/>
        <w:numPr>
          <w:ilvl w:val="0"/>
          <w:numId w:val="0"/>
        </w:numPr>
        <w:ind w:left="432" w:hanging="432"/>
      </w:pPr>
      <w:bookmarkStart w:id="4" w:name="_Toc148457083"/>
      <w:bookmarkStart w:id="5" w:name="_Hlk146030806"/>
      <w:r>
        <w:lastRenderedPageBreak/>
        <w:t>Acronyms</w:t>
      </w:r>
      <w:bookmarkEnd w:id="4"/>
    </w:p>
    <w:p w14:paraId="1B887B14" w14:textId="2D12CE67" w:rsidR="00AE0817" w:rsidRDefault="00AE0817" w:rsidP="00AE08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7589"/>
      </w:tblGrid>
      <w:tr w:rsidR="00812957" w14:paraId="10116046" w14:textId="77777777" w:rsidTr="006A57A0">
        <w:tc>
          <w:tcPr>
            <w:tcW w:w="1473" w:type="dxa"/>
          </w:tcPr>
          <w:bookmarkEnd w:id="5"/>
          <w:p w14:paraId="3D36F3A9" w14:textId="7EA43B53" w:rsidR="00812957" w:rsidRPr="00192F10" w:rsidRDefault="00812957" w:rsidP="00812957">
            <w:pPr>
              <w:rPr>
                <w:color w:val="FF0000"/>
              </w:rPr>
            </w:pPr>
            <w:r w:rsidRPr="00192F10">
              <w:rPr>
                <w:color w:val="FF0000"/>
              </w:rPr>
              <w:t>CA</w:t>
            </w:r>
          </w:p>
        </w:tc>
        <w:tc>
          <w:tcPr>
            <w:tcW w:w="7589" w:type="dxa"/>
          </w:tcPr>
          <w:p w14:paraId="002E6CD2" w14:textId="6FA71EB7" w:rsidR="00812957" w:rsidRPr="00192F10" w:rsidRDefault="00812957" w:rsidP="00812957">
            <w:pPr>
              <w:rPr>
                <w:color w:val="FF0000"/>
              </w:rPr>
            </w:pPr>
            <w:r w:rsidRPr="00192F10">
              <w:rPr>
                <w:color w:val="FF0000"/>
              </w:rPr>
              <w:t>Competent authority</w:t>
            </w:r>
          </w:p>
        </w:tc>
      </w:tr>
      <w:tr w:rsidR="00812957" w:rsidRPr="002D4A38" w14:paraId="2E793D5B" w14:textId="77777777" w:rsidTr="006A57A0">
        <w:tc>
          <w:tcPr>
            <w:tcW w:w="1473" w:type="dxa"/>
          </w:tcPr>
          <w:p w14:paraId="05A728D0" w14:textId="6263C18C" w:rsidR="00812957" w:rsidRPr="00192F10" w:rsidRDefault="00812957" w:rsidP="00812957">
            <w:pPr>
              <w:rPr>
                <w:color w:val="FF0000"/>
              </w:rPr>
            </w:pPr>
            <w:r w:rsidRPr="00192F10">
              <w:rPr>
                <w:rFonts w:cs="Calibri"/>
                <w:color w:val="FF0000"/>
                <w:shd w:val="clear" w:color="auto" w:fill="FFFFFF"/>
              </w:rPr>
              <w:t>EMA</w:t>
            </w:r>
          </w:p>
        </w:tc>
        <w:tc>
          <w:tcPr>
            <w:tcW w:w="7589" w:type="dxa"/>
          </w:tcPr>
          <w:p w14:paraId="78D56B10" w14:textId="65F4B56E" w:rsidR="00812957" w:rsidRPr="00192F10" w:rsidRDefault="00812957" w:rsidP="00812957">
            <w:pPr>
              <w:rPr>
                <w:color w:val="FF0000"/>
                <w:lang w:val="fr-FR"/>
              </w:rPr>
            </w:pPr>
            <w:r w:rsidRPr="00192F10">
              <w:rPr>
                <w:color w:val="FF0000"/>
              </w:rPr>
              <w:t>European medicines agency</w:t>
            </w:r>
          </w:p>
        </w:tc>
      </w:tr>
      <w:tr w:rsidR="00812957" w14:paraId="3919466B" w14:textId="77777777" w:rsidTr="006A57A0">
        <w:tc>
          <w:tcPr>
            <w:tcW w:w="1473" w:type="dxa"/>
          </w:tcPr>
          <w:p w14:paraId="7C33915D" w14:textId="168CCA97" w:rsidR="00812957" w:rsidRPr="00192F10" w:rsidRDefault="00812957" w:rsidP="00812957">
            <w:pPr>
              <w:rPr>
                <w:color w:val="FF0000"/>
              </w:rPr>
            </w:pPr>
            <w:r w:rsidRPr="00192F10">
              <w:rPr>
                <w:color w:val="FF0000"/>
              </w:rPr>
              <w:t>EU</w:t>
            </w:r>
          </w:p>
        </w:tc>
        <w:tc>
          <w:tcPr>
            <w:tcW w:w="7589" w:type="dxa"/>
          </w:tcPr>
          <w:p w14:paraId="615C9DA9" w14:textId="1044B5DE" w:rsidR="00812957" w:rsidRPr="00192F10" w:rsidRDefault="00812957" w:rsidP="00812957">
            <w:pPr>
              <w:rPr>
                <w:color w:val="FF0000"/>
              </w:rPr>
            </w:pPr>
            <w:r w:rsidRPr="00192F10">
              <w:rPr>
                <w:color w:val="FF0000"/>
              </w:rPr>
              <w:t>European union</w:t>
            </w:r>
          </w:p>
        </w:tc>
      </w:tr>
      <w:tr w:rsidR="00812957" w14:paraId="71E1D691" w14:textId="77777777" w:rsidTr="006A57A0">
        <w:tc>
          <w:tcPr>
            <w:tcW w:w="1473" w:type="dxa"/>
          </w:tcPr>
          <w:p w14:paraId="19AF5189" w14:textId="568FA4A9" w:rsidR="00812957" w:rsidRPr="00192F10" w:rsidRDefault="00812957" w:rsidP="00812957">
            <w:pPr>
              <w:rPr>
                <w:color w:val="FF0000"/>
              </w:rPr>
            </w:pPr>
            <w:r w:rsidRPr="00192F10">
              <w:rPr>
                <w:color w:val="FF0000"/>
              </w:rPr>
              <w:t>GSPR</w:t>
            </w:r>
          </w:p>
        </w:tc>
        <w:tc>
          <w:tcPr>
            <w:tcW w:w="7589" w:type="dxa"/>
          </w:tcPr>
          <w:p w14:paraId="75D7C65D" w14:textId="02E25C70" w:rsidR="00812957" w:rsidRPr="00192F10" w:rsidRDefault="00812957" w:rsidP="00812957">
            <w:pPr>
              <w:rPr>
                <w:color w:val="FF0000"/>
              </w:rPr>
            </w:pPr>
            <w:r w:rsidRPr="00192F10">
              <w:rPr>
                <w:color w:val="FF0000"/>
              </w:rPr>
              <w:t>General safety and performance requirements</w:t>
            </w:r>
          </w:p>
        </w:tc>
      </w:tr>
      <w:tr w:rsidR="00812957" w14:paraId="33B8E3E8" w14:textId="77777777" w:rsidTr="006A57A0">
        <w:tc>
          <w:tcPr>
            <w:tcW w:w="1473" w:type="dxa"/>
          </w:tcPr>
          <w:p w14:paraId="6506444A" w14:textId="5D0F7D9C" w:rsidR="00812957" w:rsidRPr="00192F10" w:rsidRDefault="00812957" w:rsidP="00812957">
            <w:pPr>
              <w:rPr>
                <w:color w:val="FF0000"/>
              </w:rPr>
            </w:pPr>
            <w:r w:rsidRPr="00192F10">
              <w:rPr>
                <w:color w:val="FF0000"/>
              </w:rPr>
              <w:t>IVDR</w:t>
            </w:r>
          </w:p>
        </w:tc>
        <w:tc>
          <w:tcPr>
            <w:tcW w:w="7589" w:type="dxa"/>
          </w:tcPr>
          <w:p w14:paraId="3C76C6E4" w14:textId="387DDCA7" w:rsidR="00812957" w:rsidRPr="00192F10" w:rsidRDefault="00796E6D" w:rsidP="00812957">
            <w:pPr>
              <w:rPr>
                <w:color w:val="FF0000"/>
              </w:rPr>
            </w:pPr>
            <w:r w:rsidRPr="00192F10">
              <w:rPr>
                <w:color w:val="FF0000"/>
              </w:rPr>
              <w:t>In vitro diagnostic medical devices regulation</w:t>
            </w:r>
          </w:p>
        </w:tc>
      </w:tr>
      <w:tr w:rsidR="00812957" w14:paraId="120B156B" w14:textId="77777777" w:rsidTr="006A57A0">
        <w:tc>
          <w:tcPr>
            <w:tcW w:w="1473" w:type="dxa"/>
          </w:tcPr>
          <w:p w14:paraId="7FF17162" w14:textId="58EEBAEB" w:rsidR="00812957" w:rsidRPr="00192F10" w:rsidRDefault="00812957" w:rsidP="00812957">
            <w:pPr>
              <w:rPr>
                <w:color w:val="FF0000"/>
              </w:rPr>
            </w:pPr>
            <w:r w:rsidRPr="00192F10">
              <w:rPr>
                <w:color w:val="FF0000"/>
              </w:rPr>
              <w:t>MDR</w:t>
            </w:r>
          </w:p>
        </w:tc>
        <w:tc>
          <w:tcPr>
            <w:tcW w:w="7589" w:type="dxa"/>
          </w:tcPr>
          <w:p w14:paraId="6C97AE6A" w14:textId="75F5CA3F" w:rsidR="00812957" w:rsidRPr="00192F10" w:rsidRDefault="00812957" w:rsidP="00812957">
            <w:pPr>
              <w:rPr>
                <w:color w:val="FF0000"/>
              </w:rPr>
            </w:pPr>
            <w:r w:rsidRPr="00192F10">
              <w:rPr>
                <w:color w:val="FF0000"/>
              </w:rPr>
              <w:t>Medical devices regulation</w:t>
            </w:r>
          </w:p>
        </w:tc>
      </w:tr>
      <w:tr w:rsidR="00812957" w14:paraId="1EDD8820" w14:textId="77777777" w:rsidTr="006A57A0">
        <w:tc>
          <w:tcPr>
            <w:tcW w:w="1473" w:type="dxa"/>
          </w:tcPr>
          <w:p w14:paraId="4E41558E" w14:textId="0CD97C0C" w:rsidR="00812957" w:rsidRPr="00192F10" w:rsidRDefault="00812957" w:rsidP="00812957">
            <w:pPr>
              <w:rPr>
                <w:color w:val="FF0000"/>
              </w:rPr>
            </w:pPr>
            <w:r w:rsidRPr="00192F10">
              <w:rPr>
                <w:color w:val="FF0000"/>
              </w:rPr>
              <w:t>MDCG</w:t>
            </w:r>
          </w:p>
        </w:tc>
        <w:tc>
          <w:tcPr>
            <w:tcW w:w="7589" w:type="dxa"/>
          </w:tcPr>
          <w:p w14:paraId="3B7BFE74" w14:textId="3FE47612" w:rsidR="00812957" w:rsidRPr="00192F10" w:rsidRDefault="00812957" w:rsidP="00812957">
            <w:pPr>
              <w:rPr>
                <w:color w:val="FF0000"/>
              </w:rPr>
            </w:pPr>
            <w:r w:rsidRPr="00192F10">
              <w:rPr>
                <w:color w:val="FF0000"/>
              </w:rPr>
              <w:t>Medical device coordinating group</w:t>
            </w:r>
          </w:p>
        </w:tc>
      </w:tr>
      <w:tr w:rsidR="00812957" w14:paraId="725F8E20" w14:textId="77777777" w:rsidTr="006A57A0">
        <w:tc>
          <w:tcPr>
            <w:tcW w:w="1473" w:type="dxa"/>
          </w:tcPr>
          <w:p w14:paraId="33BC0140" w14:textId="1FD987F6" w:rsidR="00812957" w:rsidRPr="00192F10" w:rsidRDefault="00812957" w:rsidP="00812957">
            <w:pPr>
              <w:rPr>
                <w:color w:val="FF0000"/>
              </w:rPr>
            </w:pPr>
            <w:r w:rsidRPr="00192F10">
              <w:rPr>
                <w:color w:val="FF0000"/>
              </w:rPr>
              <w:t>N/A</w:t>
            </w:r>
          </w:p>
        </w:tc>
        <w:tc>
          <w:tcPr>
            <w:tcW w:w="7589" w:type="dxa"/>
          </w:tcPr>
          <w:p w14:paraId="4E88D4FB" w14:textId="2E62D858" w:rsidR="00812957" w:rsidRPr="00192F10" w:rsidRDefault="00812957" w:rsidP="00812957">
            <w:pPr>
              <w:rPr>
                <w:color w:val="FF0000"/>
              </w:rPr>
            </w:pPr>
            <w:r w:rsidRPr="00192F10">
              <w:rPr>
                <w:color w:val="FF0000"/>
              </w:rPr>
              <w:t>Not applicable</w:t>
            </w:r>
          </w:p>
        </w:tc>
      </w:tr>
      <w:tr w:rsidR="00812957" w14:paraId="2120164C" w14:textId="77777777" w:rsidTr="006A57A0">
        <w:tc>
          <w:tcPr>
            <w:tcW w:w="1473" w:type="dxa"/>
          </w:tcPr>
          <w:p w14:paraId="56DC65DF" w14:textId="5CB1C364" w:rsidR="00812957" w:rsidRPr="00192F10" w:rsidRDefault="00812957" w:rsidP="00812957">
            <w:pPr>
              <w:rPr>
                <w:color w:val="FF0000"/>
              </w:rPr>
            </w:pPr>
            <w:r w:rsidRPr="00192F10">
              <w:rPr>
                <w:color w:val="FF0000"/>
              </w:rPr>
              <w:t>NBOp</w:t>
            </w:r>
          </w:p>
        </w:tc>
        <w:tc>
          <w:tcPr>
            <w:tcW w:w="7589" w:type="dxa"/>
          </w:tcPr>
          <w:p w14:paraId="603D0CC7" w14:textId="16CAE450" w:rsidR="00812957" w:rsidRPr="00192F10" w:rsidRDefault="00812957" w:rsidP="00812957">
            <w:pPr>
              <w:rPr>
                <w:color w:val="FF0000"/>
              </w:rPr>
            </w:pPr>
            <w:r w:rsidRPr="00192F10">
              <w:rPr>
                <w:color w:val="FF0000"/>
              </w:rPr>
              <w:t>Notified body opinion</w:t>
            </w:r>
          </w:p>
        </w:tc>
      </w:tr>
      <w:tr w:rsidR="00812957" w14:paraId="3D852A96" w14:textId="77777777" w:rsidTr="006A57A0">
        <w:tc>
          <w:tcPr>
            <w:tcW w:w="1473" w:type="dxa"/>
          </w:tcPr>
          <w:p w14:paraId="67041994" w14:textId="6C94C8DE" w:rsidR="00812957" w:rsidRPr="00192F10" w:rsidRDefault="00812957" w:rsidP="00812957">
            <w:pPr>
              <w:rPr>
                <w:color w:val="FF0000"/>
              </w:rPr>
            </w:pPr>
            <w:r w:rsidRPr="00192F10">
              <w:rPr>
                <w:color w:val="FF0000"/>
              </w:rPr>
              <w:t>PMCF</w:t>
            </w:r>
          </w:p>
        </w:tc>
        <w:tc>
          <w:tcPr>
            <w:tcW w:w="7589" w:type="dxa"/>
          </w:tcPr>
          <w:p w14:paraId="235636E8" w14:textId="25AAB13B" w:rsidR="00812957" w:rsidRPr="00192F10" w:rsidRDefault="00812957" w:rsidP="00812957">
            <w:pPr>
              <w:rPr>
                <w:color w:val="FF0000"/>
              </w:rPr>
            </w:pPr>
            <w:r w:rsidRPr="00192F10">
              <w:rPr>
                <w:color w:val="FF0000"/>
              </w:rPr>
              <w:t>Post-market clinical follow-up</w:t>
            </w:r>
          </w:p>
        </w:tc>
      </w:tr>
      <w:tr w:rsidR="00812957" w14:paraId="1E8B50C3" w14:textId="77777777" w:rsidTr="006A57A0">
        <w:tc>
          <w:tcPr>
            <w:tcW w:w="1473" w:type="dxa"/>
          </w:tcPr>
          <w:p w14:paraId="38BFA132" w14:textId="4CF9E2C1" w:rsidR="00812957" w:rsidRPr="00192F10" w:rsidRDefault="00812957" w:rsidP="00812957">
            <w:pPr>
              <w:rPr>
                <w:color w:val="FF0000"/>
              </w:rPr>
            </w:pPr>
            <w:r w:rsidRPr="00192F10">
              <w:rPr>
                <w:color w:val="FF0000"/>
              </w:rPr>
              <w:t>PMS</w:t>
            </w:r>
          </w:p>
        </w:tc>
        <w:tc>
          <w:tcPr>
            <w:tcW w:w="7589" w:type="dxa"/>
          </w:tcPr>
          <w:p w14:paraId="2A97D9CD" w14:textId="36214B64" w:rsidR="00812957" w:rsidRPr="00192F10" w:rsidRDefault="00812957" w:rsidP="00812957">
            <w:pPr>
              <w:rPr>
                <w:color w:val="FF0000"/>
              </w:rPr>
            </w:pPr>
            <w:r w:rsidRPr="00192F10">
              <w:rPr>
                <w:color w:val="FF0000"/>
                <w:lang w:val="fr-FR"/>
              </w:rPr>
              <w:t>Post-market surveillance</w:t>
            </w:r>
          </w:p>
        </w:tc>
      </w:tr>
      <w:tr w:rsidR="00812957" w14:paraId="5DD27321" w14:textId="77777777" w:rsidTr="006A57A0">
        <w:tc>
          <w:tcPr>
            <w:tcW w:w="1473" w:type="dxa"/>
          </w:tcPr>
          <w:p w14:paraId="61A600A9" w14:textId="1FAD81D7" w:rsidR="00812957" w:rsidRPr="00192F10" w:rsidRDefault="00812957" w:rsidP="00812957">
            <w:pPr>
              <w:rPr>
                <w:color w:val="FF0000"/>
              </w:rPr>
            </w:pPr>
            <w:r w:rsidRPr="00192F10">
              <w:rPr>
                <w:color w:val="FF0000"/>
              </w:rPr>
              <w:t>PSUR</w:t>
            </w:r>
          </w:p>
        </w:tc>
        <w:tc>
          <w:tcPr>
            <w:tcW w:w="7589" w:type="dxa"/>
          </w:tcPr>
          <w:p w14:paraId="38743999" w14:textId="5B80314B" w:rsidR="00812957" w:rsidRPr="00192F10" w:rsidRDefault="00812957" w:rsidP="00812957">
            <w:pPr>
              <w:rPr>
                <w:color w:val="FF0000"/>
              </w:rPr>
            </w:pPr>
            <w:r w:rsidRPr="00192F10">
              <w:rPr>
                <w:color w:val="FF0000"/>
                <w:lang w:val="fr-FR"/>
              </w:rPr>
              <w:t>Periodic safety update report</w:t>
            </w:r>
          </w:p>
        </w:tc>
      </w:tr>
      <w:tr w:rsidR="00812957" w14:paraId="208B30A5" w14:textId="77777777" w:rsidTr="006A57A0">
        <w:tc>
          <w:tcPr>
            <w:tcW w:w="1473" w:type="dxa"/>
          </w:tcPr>
          <w:p w14:paraId="6D979CF1" w14:textId="106A190A" w:rsidR="00812957" w:rsidRPr="00192F10" w:rsidRDefault="00812957" w:rsidP="00812957">
            <w:pPr>
              <w:rPr>
                <w:color w:val="FF0000"/>
              </w:rPr>
            </w:pPr>
            <w:r w:rsidRPr="00192F10">
              <w:rPr>
                <w:color w:val="FF0000"/>
              </w:rPr>
              <w:t>UDI</w:t>
            </w:r>
          </w:p>
        </w:tc>
        <w:tc>
          <w:tcPr>
            <w:tcW w:w="7589" w:type="dxa"/>
          </w:tcPr>
          <w:p w14:paraId="6C6CAF3A" w14:textId="6A320478" w:rsidR="00812957" w:rsidRPr="00192F10" w:rsidRDefault="00812957" w:rsidP="00812957">
            <w:pPr>
              <w:rPr>
                <w:color w:val="FF0000"/>
              </w:rPr>
            </w:pPr>
            <w:r w:rsidRPr="00192F10">
              <w:rPr>
                <w:color w:val="FF0000"/>
              </w:rPr>
              <w:t>Unique device identification</w:t>
            </w:r>
          </w:p>
        </w:tc>
      </w:tr>
      <w:tr w:rsidR="00812957" w14:paraId="621A95BB" w14:textId="77777777" w:rsidTr="006A57A0">
        <w:tc>
          <w:tcPr>
            <w:tcW w:w="1473" w:type="dxa"/>
          </w:tcPr>
          <w:p w14:paraId="16D5E510" w14:textId="58215FB4" w:rsidR="00812957" w:rsidRPr="00192F10" w:rsidRDefault="00812957" w:rsidP="00812957">
            <w:pPr>
              <w:rPr>
                <w:color w:val="FF0000"/>
              </w:rPr>
            </w:pPr>
            <w:r w:rsidRPr="00192F10">
              <w:rPr>
                <w:color w:val="FF0000"/>
              </w:rPr>
              <w:t>UDI-DI</w:t>
            </w:r>
          </w:p>
        </w:tc>
        <w:tc>
          <w:tcPr>
            <w:tcW w:w="7589" w:type="dxa"/>
          </w:tcPr>
          <w:p w14:paraId="26C1565B" w14:textId="1A832C99" w:rsidR="00812957" w:rsidRPr="00192F10" w:rsidRDefault="00812957" w:rsidP="00812957">
            <w:pPr>
              <w:rPr>
                <w:color w:val="FF0000"/>
              </w:rPr>
            </w:pPr>
            <w:r w:rsidRPr="00192F10">
              <w:rPr>
                <w:color w:val="FF0000"/>
              </w:rPr>
              <w:t>UDI- Device identifier</w:t>
            </w:r>
          </w:p>
        </w:tc>
      </w:tr>
      <w:tr w:rsidR="00812957" w14:paraId="126D2D86" w14:textId="77777777" w:rsidTr="006A57A0">
        <w:tc>
          <w:tcPr>
            <w:tcW w:w="1473" w:type="dxa"/>
          </w:tcPr>
          <w:p w14:paraId="30EF1B60" w14:textId="3D2F3C52" w:rsidR="00812957" w:rsidRPr="00192F10" w:rsidRDefault="00812957" w:rsidP="00812957">
            <w:pPr>
              <w:rPr>
                <w:color w:val="FF0000"/>
              </w:rPr>
            </w:pPr>
            <w:r w:rsidRPr="00192F10">
              <w:rPr>
                <w:color w:val="FF0000"/>
              </w:rPr>
              <w:t>UDI-PI</w:t>
            </w:r>
          </w:p>
        </w:tc>
        <w:tc>
          <w:tcPr>
            <w:tcW w:w="7589" w:type="dxa"/>
          </w:tcPr>
          <w:p w14:paraId="5FF9EFB0" w14:textId="5AC9B172" w:rsidR="00812957" w:rsidRPr="00192F10" w:rsidRDefault="00812957" w:rsidP="00812957">
            <w:pPr>
              <w:rPr>
                <w:color w:val="FF0000"/>
              </w:rPr>
            </w:pPr>
            <w:r w:rsidRPr="00192F10">
              <w:rPr>
                <w:color w:val="FF0000"/>
              </w:rPr>
              <w:t>UDI-Production identifier</w:t>
            </w:r>
          </w:p>
        </w:tc>
      </w:tr>
      <w:tr w:rsidR="00812957" w14:paraId="6193DC18" w14:textId="77777777" w:rsidTr="006A57A0">
        <w:tc>
          <w:tcPr>
            <w:tcW w:w="1473" w:type="dxa"/>
          </w:tcPr>
          <w:p w14:paraId="01782774" w14:textId="2695EE7C" w:rsidR="00812957" w:rsidRPr="00192F10" w:rsidRDefault="00812957" w:rsidP="00812957">
            <w:pPr>
              <w:rPr>
                <w:color w:val="FF0000"/>
              </w:rPr>
            </w:pPr>
            <w:r w:rsidRPr="00192F10">
              <w:rPr>
                <w:color w:val="FF0000"/>
              </w:rPr>
              <w:t>WET</w:t>
            </w:r>
          </w:p>
        </w:tc>
        <w:tc>
          <w:tcPr>
            <w:tcW w:w="7589" w:type="dxa"/>
          </w:tcPr>
          <w:p w14:paraId="798E4256" w14:textId="2AA434F2" w:rsidR="00812957" w:rsidRPr="00192F10" w:rsidRDefault="00812957" w:rsidP="00812957">
            <w:pPr>
              <w:rPr>
                <w:color w:val="FF0000"/>
              </w:rPr>
            </w:pPr>
            <w:r w:rsidRPr="00192F10">
              <w:rPr>
                <w:color w:val="FF0000"/>
              </w:rPr>
              <w:t>Well-established technology</w:t>
            </w:r>
          </w:p>
        </w:tc>
      </w:tr>
    </w:tbl>
    <w:p w14:paraId="45850E19" w14:textId="77777777" w:rsidR="00882BF2" w:rsidRPr="00AE0817" w:rsidRDefault="00882BF2" w:rsidP="00AE0817"/>
    <w:p w14:paraId="58E4E8F6" w14:textId="2CABAC5A" w:rsidR="00EC1FC0" w:rsidRDefault="00E65CE7" w:rsidP="003940CC">
      <w:pPr>
        <w:pStyle w:val="Heading1"/>
      </w:pPr>
      <w:r>
        <w:br w:type="page"/>
      </w:r>
      <w:bookmarkStart w:id="6" w:name="_Toc148457084"/>
      <w:r w:rsidR="00527186">
        <w:lastRenderedPageBreak/>
        <w:t>Introduction</w:t>
      </w:r>
      <w:bookmarkEnd w:id="6"/>
    </w:p>
    <w:p w14:paraId="26A1397F" w14:textId="3C3673AB" w:rsidR="00225677" w:rsidRDefault="00225677" w:rsidP="00527186">
      <w:r w:rsidRPr="00F364EB">
        <w:rPr>
          <w:highlight w:val="yellow"/>
        </w:rPr>
        <w:t xml:space="preserve">Include </w:t>
      </w:r>
      <w:r w:rsidR="00B774A3" w:rsidRPr="00F364EB">
        <w:rPr>
          <w:highlight w:val="yellow"/>
        </w:rPr>
        <w:t xml:space="preserve">a summary of development status, </w:t>
      </w:r>
      <w:r w:rsidR="00F364EB" w:rsidRPr="00F364EB">
        <w:rPr>
          <w:highlight w:val="yellow"/>
        </w:rPr>
        <w:t>important</w:t>
      </w:r>
      <w:r w:rsidR="00B774A3" w:rsidRPr="00F364EB">
        <w:rPr>
          <w:highlight w:val="yellow"/>
        </w:rPr>
        <w:t xml:space="preserve"> </w:t>
      </w:r>
      <w:r w:rsidR="00795A66">
        <w:rPr>
          <w:highlight w:val="yellow"/>
        </w:rPr>
        <w:t>information in the</w:t>
      </w:r>
      <w:r w:rsidR="00B774A3" w:rsidRPr="00F364EB">
        <w:rPr>
          <w:highlight w:val="yellow"/>
        </w:rPr>
        <w:t xml:space="preserve"> development contex</w:t>
      </w:r>
      <w:r w:rsidR="00CB25FE" w:rsidRPr="00F364EB">
        <w:rPr>
          <w:highlight w:val="yellow"/>
        </w:rPr>
        <w:t>t</w:t>
      </w:r>
      <w:r w:rsidR="00F364EB" w:rsidRPr="00F364EB">
        <w:rPr>
          <w:highlight w:val="yellow"/>
        </w:rPr>
        <w:t xml:space="preserve"> that are critical for the strategy.</w:t>
      </w:r>
    </w:p>
    <w:p w14:paraId="124278BB" w14:textId="77777777" w:rsidR="00225677" w:rsidRPr="00527186" w:rsidRDefault="00225677" w:rsidP="00527186"/>
    <w:p w14:paraId="117EF7EF" w14:textId="77777777" w:rsidR="00196751" w:rsidRDefault="00196751" w:rsidP="00196751"/>
    <w:p w14:paraId="4CBEAB5A" w14:textId="378FA0A1" w:rsidR="00603784" w:rsidRDefault="00527186" w:rsidP="00603784">
      <w:pPr>
        <w:pStyle w:val="Heading1"/>
      </w:pPr>
      <w:bookmarkStart w:id="7" w:name="_Toc148457085"/>
      <w:r>
        <w:t>Device description</w:t>
      </w:r>
      <w:bookmarkEnd w:id="7"/>
    </w:p>
    <w:p w14:paraId="6CD57D65" w14:textId="4C0C408B" w:rsidR="00010A1F" w:rsidRPr="00775B4B" w:rsidRDefault="00B2685F" w:rsidP="00527186">
      <w:pPr>
        <w:rPr>
          <w:i/>
          <w:iCs/>
        </w:rPr>
      </w:pPr>
      <w:r w:rsidRPr="000A525E">
        <w:rPr>
          <w:highlight w:val="yellow"/>
        </w:rPr>
        <w:t>Include the description of the product, including the critical elements for the evaluation</w:t>
      </w:r>
      <w:r w:rsidR="000A525E" w:rsidRPr="000A525E">
        <w:rPr>
          <w:highlight w:val="yellow"/>
        </w:rPr>
        <w:t>.</w:t>
      </w:r>
    </w:p>
    <w:p w14:paraId="71762EBD" w14:textId="77777777" w:rsidR="00010A1F" w:rsidRPr="00775B4B" w:rsidRDefault="00010A1F" w:rsidP="00603784">
      <w:pPr>
        <w:rPr>
          <w:i/>
          <w:iCs/>
        </w:rPr>
      </w:pPr>
    </w:p>
    <w:p w14:paraId="6C4A9E2A" w14:textId="3014E448" w:rsidR="002A626E" w:rsidRDefault="00983AD6" w:rsidP="002A626E">
      <w:pPr>
        <w:pStyle w:val="Heading1"/>
      </w:pPr>
      <w:bookmarkStart w:id="8" w:name="_Toc148457086"/>
      <w:r>
        <w:t>Labeling</w:t>
      </w:r>
      <w:bookmarkEnd w:id="8"/>
    </w:p>
    <w:p w14:paraId="7BFEDB01" w14:textId="0027CA1D" w:rsidR="00FE1487" w:rsidRDefault="00FE1487" w:rsidP="006934D7">
      <w:pPr>
        <w:pStyle w:val="Heading2"/>
        <w:ind w:left="864"/>
      </w:pPr>
      <w:bookmarkStart w:id="9" w:name="_Toc148457087"/>
      <w:r>
        <w:t>Intended use</w:t>
      </w:r>
      <w:bookmarkEnd w:id="9"/>
    </w:p>
    <w:p w14:paraId="7B27A26F" w14:textId="7A30AEA5" w:rsidR="00FE1487" w:rsidRDefault="00FE1487" w:rsidP="00FE1487">
      <w:r w:rsidRPr="000D03D6">
        <w:rPr>
          <w:highlight w:val="yellow"/>
        </w:rPr>
        <w:t xml:space="preserve">Include the </w:t>
      </w:r>
      <w:r>
        <w:rPr>
          <w:highlight w:val="yellow"/>
        </w:rPr>
        <w:t>intended use</w:t>
      </w:r>
      <w:r w:rsidRPr="000D03D6">
        <w:rPr>
          <w:highlight w:val="yellow"/>
        </w:rPr>
        <w:t xml:space="preserve"> statement or propose </w:t>
      </w:r>
      <w:r>
        <w:rPr>
          <w:highlight w:val="yellow"/>
        </w:rPr>
        <w:t xml:space="preserve">a </w:t>
      </w:r>
      <w:r w:rsidRPr="000D03D6">
        <w:rPr>
          <w:highlight w:val="yellow"/>
        </w:rPr>
        <w:t xml:space="preserve">relevant </w:t>
      </w:r>
      <w:r>
        <w:rPr>
          <w:highlight w:val="yellow"/>
        </w:rPr>
        <w:t>intended use</w:t>
      </w:r>
      <w:r w:rsidRPr="000D03D6">
        <w:rPr>
          <w:highlight w:val="yellow"/>
        </w:rPr>
        <w:t xml:space="preserve"> for which the strategy will be based on.</w:t>
      </w:r>
    </w:p>
    <w:p w14:paraId="5F4BD498" w14:textId="77777777" w:rsidR="00FE1487" w:rsidRPr="00FE1487" w:rsidRDefault="00FE1487" w:rsidP="00FE1487"/>
    <w:p w14:paraId="586095EF" w14:textId="312F3B33" w:rsidR="00074647" w:rsidRDefault="006934D7" w:rsidP="006934D7">
      <w:pPr>
        <w:pStyle w:val="Heading2"/>
        <w:ind w:left="864"/>
      </w:pPr>
      <w:bookmarkStart w:id="10" w:name="_Toc148457088"/>
      <w:r>
        <w:t>Indication</w:t>
      </w:r>
      <w:bookmarkEnd w:id="10"/>
    </w:p>
    <w:p w14:paraId="632C73E1" w14:textId="6B8BC339" w:rsidR="00244F19" w:rsidRDefault="006B43DF" w:rsidP="00244F19">
      <w:r w:rsidRPr="000D03D6">
        <w:rPr>
          <w:highlight w:val="yellow"/>
        </w:rPr>
        <w:t xml:space="preserve">Include the indications for use statement or propose </w:t>
      </w:r>
      <w:r w:rsidR="000D03D6" w:rsidRPr="000D03D6">
        <w:rPr>
          <w:highlight w:val="yellow"/>
        </w:rPr>
        <w:t>relevant indications for which the strategy will be based on.</w:t>
      </w:r>
    </w:p>
    <w:p w14:paraId="3EB5670A" w14:textId="77777777" w:rsidR="000D03D6" w:rsidRDefault="000D03D6" w:rsidP="00244F19"/>
    <w:p w14:paraId="0EAC7A5B" w14:textId="55A80801" w:rsidR="000D03D6" w:rsidRDefault="000D03D6" w:rsidP="000D03D6">
      <w:pPr>
        <w:pStyle w:val="Heading2"/>
        <w:ind w:left="864"/>
      </w:pPr>
      <w:bookmarkStart w:id="11" w:name="_Toc148457089"/>
      <w:r>
        <w:t>Targeted patient population</w:t>
      </w:r>
      <w:bookmarkEnd w:id="11"/>
    </w:p>
    <w:p w14:paraId="403E9A1B" w14:textId="1E72A2B6" w:rsidR="00A702F6" w:rsidRDefault="00FE1487" w:rsidP="00A702F6">
      <w:r>
        <w:rPr>
          <w:highlight w:val="yellow"/>
        </w:rPr>
        <w:t xml:space="preserve">Remove if not relevant for the evaluation. </w:t>
      </w:r>
      <w:r w:rsidR="00A702F6" w:rsidRPr="000D03D6">
        <w:rPr>
          <w:highlight w:val="yellow"/>
        </w:rPr>
        <w:t xml:space="preserve">Include the </w:t>
      </w:r>
      <w:r w:rsidR="00A702F6">
        <w:rPr>
          <w:highlight w:val="yellow"/>
        </w:rPr>
        <w:t>targeted patient population</w:t>
      </w:r>
      <w:r w:rsidR="00A702F6" w:rsidRPr="000D03D6">
        <w:rPr>
          <w:highlight w:val="yellow"/>
        </w:rPr>
        <w:t xml:space="preserve"> or propose relevant </w:t>
      </w:r>
      <w:r w:rsidR="00A702F6">
        <w:rPr>
          <w:highlight w:val="yellow"/>
        </w:rPr>
        <w:t>patient populations</w:t>
      </w:r>
      <w:r w:rsidR="00A702F6" w:rsidRPr="000D03D6">
        <w:rPr>
          <w:highlight w:val="yellow"/>
        </w:rPr>
        <w:t xml:space="preserve"> for which the strategy will be based on.</w:t>
      </w:r>
    </w:p>
    <w:p w14:paraId="2F613BC4" w14:textId="77777777" w:rsidR="00A702F6" w:rsidRPr="00A702F6" w:rsidRDefault="00A702F6" w:rsidP="00A702F6"/>
    <w:p w14:paraId="55D3866E" w14:textId="74D4FEF1" w:rsidR="006934D7" w:rsidRDefault="000D03D6" w:rsidP="006934D7">
      <w:pPr>
        <w:pStyle w:val="Heading2"/>
        <w:ind w:left="864"/>
      </w:pPr>
      <w:bookmarkStart w:id="12" w:name="_Toc148457090"/>
      <w:bookmarkStart w:id="13" w:name="_Ref145924240"/>
      <w:r>
        <w:t>Contra-indications</w:t>
      </w:r>
      <w:bookmarkEnd w:id="12"/>
    </w:p>
    <w:p w14:paraId="5EE1FE56" w14:textId="48EA82BF" w:rsidR="00EB5488" w:rsidRDefault="00FE1487">
      <w:pPr>
        <w:spacing w:after="200" w:line="276" w:lineRule="auto"/>
        <w:jc w:val="left"/>
      </w:pPr>
      <w:r>
        <w:rPr>
          <w:highlight w:val="yellow"/>
        </w:rPr>
        <w:t>Remove if not relevant</w:t>
      </w:r>
      <w:r w:rsidR="00EB5488">
        <w:br w:type="page"/>
      </w:r>
    </w:p>
    <w:p w14:paraId="488F6FFA" w14:textId="5CA934D9" w:rsidR="00C13ABD" w:rsidRDefault="00D1387A" w:rsidP="00C13ABD">
      <w:pPr>
        <w:pStyle w:val="Heading1"/>
      </w:pPr>
      <w:bookmarkStart w:id="14" w:name="_Toc148457091"/>
      <w:r>
        <w:lastRenderedPageBreak/>
        <w:t xml:space="preserve">EU </w:t>
      </w:r>
      <w:r w:rsidR="00EB5488">
        <w:t xml:space="preserve">Regulatory </w:t>
      </w:r>
      <w:r w:rsidR="00FC7128">
        <w:t>strategy per (EU) 2017/745</w:t>
      </w:r>
      <w:bookmarkEnd w:id="14"/>
    </w:p>
    <w:p w14:paraId="62843CBD" w14:textId="2C2A870F" w:rsidR="00EB00FE" w:rsidRDefault="00EB00FE" w:rsidP="00FD7DBF">
      <w:pPr>
        <w:pStyle w:val="Heading2"/>
      </w:pPr>
      <w:bookmarkStart w:id="15" w:name="_Toc148457092"/>
      <w:bookmarkEnd w:id="13"/>
      <w:r>
        <w:t>Introduction</w:t>
      </w:r>
      <w:bookmarkEnd w:id="15"/>
    </w:p>
    <w:p w14:paraId="7B73E205" w14:textId="77777777" w:rsidR="001004EC" w:rsidRDefault="0056188C" w:rsidP="0056188C">
      <w:r>
        <w:t>Medical devices in Europe are regulated under (EU) 2017/745</w:t>
      </w:r>
      <w:r w:rsidR="001004EC">
        <w:t xml:space="preserve"> (Medical Devices Regulation - MDR)</w:t>
      </w:r>
      <w:r w:rsidR="00625F86">
        <w:t xml:space="preserve"> as interpreted </w:t>
      </w:r>
      <w:r w:rsidR="001004EC">
        <w:t>by</w:t>
      </w:r>
      <w:r w:rsidR="00723518">
        <w:t xml:space="preserve"> the Medical Device Coordinating Group (MDCG) guidance documents. </w:t>
      </w:r>
    </w:p>
    <w:p w14:paraId="13DE5E15" w14:textId="77777777" w:rsidR="001004EC" w:rsidRDefault="001004EC" w:rsidP="0056188C"/>
    <w:p w14:paraId="28F7128F" w14:textId="72C5CFDA" w:rsidR="0074087E" w:rsidRDefault="00723518" w:rsidP="0056188C">
      <w:r>
        <w:t>Per MDR</w:t>
      </w:r>
      <w:r w:rsidR="00030FE1">
        <w:t xml:space="preserve"> Article 10(</w:t>
      </w:r>
      <w:r w:rsidR="00545770">
        <w:t>9a</w:t>
      </w:r>
      <w:r w:rsidR="00030FE1">
        <w:t>)</w:t>
      </w:r>
      <w:r w:rsidR="00545770">
        <w:t xml:space="preserve">, manufacturers need to develop a strategy for regulatory compliance for the devices intended to be marketed in Europe. In addition, </w:t>
      </w:r>
      <w:r w:rsidR="00167734">
        <w:t>Annex II</w:t>
      </w:r>
      <w:r w:rsidR="00FD78E6">
        <w:t xml:space="preserve"> section</w:t>
      </w:r>
      <w:r w:rsidR="00095273">
        <w:t>s</w:t>
      </w:r>
      <w:r w:rsidR="00FD78E6">
        <w:t xml:space="preserve"> 1.1.e</w:t>
      </w:r>
      <w:r w:rsidR="00123006">
        <w:t xml:space="preserve"> and </w:t>
      </w:r>
      <w:r w:rsidR="00095273">
        <w:t>1.1.f</w:t>
      </w:r>
      <w:r w:rsidR="00FD78E6">
        <w:t xml:space="preserve"> require a manufacturer to provide </w:t>
      </w:r>
      <w:r w:rsidR="00BF0B30">
        <w:t xml:space="preserve">respectively </w:t>
      </w:r>
      <w:r w:rsidR="00FD78E6">
        <w:t>a</w:t>
      </w:r>
      <w:r w:rsidR="008C7235">
        <w:t xml:space="preserve"> rationale that support</w:t>
      </w:r>
      <w:r w:rsidR="00123006">
        <w:t>s</w:t>
      </w:r>
      <w:r w:rsidR="008C7235">
        <w:t xml:space="preserve"> the qualification of the product as a device</w:t>
      </w:r>
      <w:r w:rsidR="00095273">
        <w:t>,</w:t>
      </w:r>
      <w:r w:rsidR="00BF0B30">
        <w:t xml:space="preserve"> and</w:t>
      </w:r>
      <w:r w:rsidR="00095273">
        <w:t xml:space="preserve"> </w:t>
      </w:r>
      <w:r w:rsidR="0074087E">
        <w:t>the device classification in accordance with Annex VIII</w:t>
      </w:r>
      <w:r w:rsidR="008C7235">
        <w:t>.</w:t>
      </w:r>
    </w:p>
    <w:p w14:paraId="0970B219" w14:textId="77777777" w:rsidR="0074087E" w:rsidRDefault="0074087E" w:rsidP="0056188C"/>
    <w:p w14:paraId="292747F2" w14:textId="1317053B" w:rsidR="000563CF" w:rsidRDefault="0074087E" w:rsidP="0056188C">
      <w:r>
        <w:t xml:space="preserve">As a result, </w:t>
      </w:r>
      <w:r w:rsidR="004A448B">
        <w:t>this regulatory strategy aims at fulfilling all these objectives</w:t>
      </w:r>
      <w:r w:rsidR="000563CF">
        <w:t xml:space="preserve"> </w:t>
      </w:r>
      <w:r w:rsidR="00B916E6">
        <w:t xml:space="preserve">and brings a scientific </w:t>
      </w:r>
      <w:r w:rsidR="000563CF">
        <w:t xml:space="preserve">justification </w:t>
      </w:r>
      <w:r w:rsidR="00B916E6">
        <w:t>for</w:t>
      </w:r>
      <w:r w:rsidR="000563CF">
        <w:t>:</w:t>
      </w:r>
    </w:p>
    <w:p w14:paraId="2065847F" w14:textId="5F369DCB" w:rsidR="003F06E4" w:rsidRDefault="00B916E6" w:rsidP="000563CF">
      <w:pPr>
        <w:pStyle w:val="ListParagraph"/>
        <w:numPr>
          <w:ilvl w:val="0"/>
          <w:numId w:val="22"/>
        </w:numPr>
      </w:pPr>
      <w:r>
        <w:t>t</w:t>
      </w:r>
      <w:r w:rsidR="000563CF">
        <w:t>he product qualification (</w:t>
      </w:r>
      <w:r w:rsidR="000563CF" w:rsidRPr="003F06E4">
        <w:rPr>
          <w:b/>
          <w:bCs/>
        </w:rPr>
        <w:t xml:space="preserve">Section </w:t>
      </w:r>
      <w:r w:rsidR="000563CF" w:rsidRPr="003F06E4">
        <w:rPr>
          <w:b/>
          <w:bCs/>
        </w:rPr>
        <w:fldChar w:fldCharType="begin"/>
      </w:r>
      <w:r w:rsidR="000563CF" w:rsidRPr="003F06E4">
        <w:rPr>
          <w:b/>
          <w:bCs/>
        </w:rPr>
        <w:instrText xml:space="preserve"> REF _Ref148430047 \r \h </w:instrText>
      </w:r>
      <w:r w:rsidR="003F06E4">
        <w:rPr>
          <w:b/>
          <w:bCs/>
        </w:rPr>
        <w:instrText xml:space="preserve"> \* MERGEFORMAT </w:instrText>
      </w:r>
      <w:r w:rsidR="000563CF" w:rsidRPr="003F06E4">
        <w:rPr>
          <w:b/>
          <w:bCs/>
        </w:rPr>
      </w:r>
      <w:r w:rsidR="000563CF" w:rsidRPr="003F06E4">
        <w:rPr>
          <w:b/>
          <w:bCs/>
        </w:rPr>
        <w:fldChar w:fldCharType="separate"/>
      </w:r>
      <w:r w:rsidR="000563CF" w:rsidRPr="003F06E4">
        <w:rPr>
          <w:b/>
          <w:bCs/>
        </w:rPr>
        <w:t>4.2</w:t>
      </w:r>
      <w:r w:rsidR="000563CF" w:rsidRPr="003F06E4">
        <w:rPr>
          <w:b/>
          <w:bCs/>
        </w:rPr>
        <w:fldChar w:fldCharType="end"/>
      </w:r>
      <w:r w:rsidR="000563CF">
        <w:t>)</w:t>
      </w:r>
    </w:p>
    <w:p w14:paraId="3C1F51FE" w14:textId="1DEC1645" w:rsidR="0056188C" w:rsidRDefault="00B916E6" w:rsidP="000563CF">
      <w:pPr>
        <w:pStyle w:val="ListParagraph"/>
        <w:numPr>
          <w:ilvl w:val="0"/>
          <w:numId w:val="22"/>
        </w:numPr>
      </w:pPr>
      <w:r>
        <w:t>t</w:t>
      </w:r>
      <w:r w:rsidR="003F06E4">
        <w:t>he device classification (</w:t>
      </w:r>
      <w:r w:rsidR="003F06E4" w:rsidRPr="003F06E4">
        <w:rPr>
          <w:b/>
          <w:bCs/>
        </w:rPr>
        <w:t xml:space="preserve">Section </w:t>
      </w:r>
      <w:r w:rsidR="003F06E4" w:rsidRPr="003F06E4">
        <w:rPr>
          <w:b/>
          <w:bCs/>
        </w:rPr>
        <w:fldChar w:fldCharType="begin"/>
      </w:r>
      <w:r w:rsidR="003F06E4" w:rsidRPr="003F06E4">
        <w:rPr>
          <w:b/>
          <w:bCs/>
        </w:rPr>
        <w:instrText xml:space="preserve"> REF _Ref148430085 \r \h </w:instrText>
      </w:r>
      <w:r w:rsidR="003F06E4">
        <w:rPr>
          <w:b/>
          <w:bCs/>
        </w:rPr>
        <w:instrText xml:space="preserve"> \* MERGEFORMAT </w:instrText>
      </w:r>
      <w:r w:rsidR="003F06E4" w:rsidRPr="003F06E4">
        <w:rPr>
          <w:b/>
          <w:bCs/>
        </w:rPr>
      </w:r>
      <w:r w:rsidR="003F06E4" w:rsidRPr="003F06E4">
        <w:rPr>
          <w:b/>
          <w:bCs/>
        </w:rPr>
        <w:fldChar w:fldCharType="separate"/>
      </w:r>
      <w:r w:rsidR="003F06E4" w:rsidRPr="003F06E4">
        <w:rPr>
          <w:b/>
          <w:bCs/>
        </w:rPr>
        <w:t>4.3</w:t>
      </w:r>
      <w:r w:rsidR="003F06E4" w:rsidRPr="003F06E4">
        <w:rPr>
          <w:b/>
          <w:bCs/>
        </w:rPr>
        <w:fldChar w:fldCharType="end"/>
      </w:r>
      <w:r w:rsidR="003F06E4">
        <w:t>)</w:t>
      </w:r>
      <w:r w:rsidR="00123006">
        <w:t xml:space="preserve"> </w:t>
      </w:r>
    </w:p>
    <w:p w14:paraId="3820C5AF" w14:textId="1332C730" w:rsidR="003F06E4" w:rsidRPr="005F7EF3" w:rsidRDefault="00B916E6" w:rsidP="000563CF">
      <w:pPr>
        <w:pStyle w:val="ListParagraph"/>
        <w:numPr>
          <w:ilvl w:val="0"/>
          <w:numId w:val="22"/>
        </w:numPr>
        <w:rPr>
          <w:lang w:val="en-US"/>
        </w:rPr>
      </w:pPr>
      <w:r>
        <w:rPr>
          <w:lang w:val="en-US"/>
        </w:rPr>
        <w:t>t</w:t>
      </w:r>
      <w:r w:rsidR="005F7EF3" w:rsidRPr="005F7EF3">
        <w:rPr>
          <w:lang w:val="en-US"/>
        </w:rPr>
        <w:t>he strategy for regulatory c</w:t>
      </w:r>
      <w:r w:rsidR="005F7EF3">
        <w:rPr>
          <w:lang w:val="en-US"/>
        </w:rPr>
        <w:t>ompliance (</w:t>
      </w:r>
      <w:r w:rsidR="005F7EF3" w:rsidRPr="005F7EF3">
        <w:rPr>
          <w:b/>
          <w:bCs/>
          <w:lang w:val="en-US"/>
        </w:rPr>
        <w:t xml:space="preserve">Sections </w:t>
      </w:r>
      <w:r w:rsidR="005F7EF3" w:rsidRPr="005F7EF3">
        <w:rPr>
          <w:b/>
          <w:bCs/>
          <w:lang w:val="en-US"/>
        </w:rPr>
        <w:fldChar w:fldCharType="begin"/>
      </w:r>
      <w:r w:rsidR="005F7EF3" w:rsidRPr="005F7EF3">
        <w:rPr>
          <w:b/>
          <w:bCs/>
          <w:lang w:val="en-US"/>
        </w:rPr>
        <w:instrText xml:space="preserve"> REF _Ref148430116 \r \h </w:instrText>
      </w:r>
      <w:r w:rsidR="005F7EF3">
        <w:rPr>
          <w:b/>
          <w:bCs/>
          <w:lang w:val="en-US"/>
        </w:rPr>
        <w:instrText xml:space="preserve"> \* MERGEFORMAT </w:instrText>
      </w:r>
      <w:r w:rsidR="005F7EF3" w:rsidRPr="005F7EF3">
        <w:rPr>
          <w:b/>
          <w:bCs/>
          <w:lang w:val="en-US"/>
        </w:rPr>
      </w:r>
      <w:r w:rsidR="005F7EF3" w:rsidRPr="005F7EF3">
        <w:rPr>
          <w:b/>
          <w:bCs/>
          <w:lang w:val="en-US"/>
        </w:rPr>
        <w:fldChar w:fldCharType="separate"/>
      </w:r>
      <w:r w:rsidR="005F7EF3" w:rsidRPr="005F7EF3">
        <w:rPr>
          <w:b/>
          <w:bCs/>
          <w:lang w:val="en-US"/>
        </w:rPr>
        <w:t>4.4</w:t>
      </w:r>
      <w:r w:rsidR="005F7EF3" w:rsidRPr="005F7EF3">
        <w:rPr>
          <w:b/>
          <w:bCs/>
          <w:lang w:val="en-US"/>
        </w:rPr>
        <w:fldChar w:fldCharType="end"/>
      </w:r>
      <w:r w:rsidR="005F7EF3">
        <w:rPr>
          <w:lang w:val="en-US"/>
        </w:rPr>
        <w:t xml:space="preserve"> and </w:t>
      </w:r>
      <w:r w:rsidR="005F7EF3" w:rsidRPr="005F7EF3">
        <w:rPr>
          <w:b/>
          <w:bCs/>
          <w:lang w:val="en-US"/>
        </w:rPr>
        <w:fldChar w:fldCharType="begin"/>
      </w:r>
      <w:r w:rsidR="005F7EF3" w:rsidRPr="005F7EF3">
        <w:rPr>
          <w:b/>
          <w:bCs/>
          <w:lang w:val="en-US"/>
        </w:rPr>
        <w:instrText xml:space="preserve"> REF _Ref148430121 \r \h </w:instrText>
      </w:r>
      <w:r w:rsidR="005F7EF3">
        <w:rPr>
          <w:b/>
          <w:bCs/>
          <w:lang w:val="en-US"/>
        </w:rPr>
        <w:instrText xml:space="preserve"> \* MERGEFORMAT </w:instrText>
      </w:r>
      <w:r w:rsidR="005F7EF3" w:rsidRPr="005F7EF3">
        <w:rPr>
          <w:b/>
          <w:bCs/>
          <w:lang w:val="en-US"/>
        </w:rPr>
      </w:r>
      <w:r w:rsidR="005F7EF3" w:rsidRPr="005F7EF3">
        <w:rPr>
          <w:b/>
          <w:bCs/>
          <w:lang w:val="en-US"/>
        </w:rPr>
        <w:fldChar w:fldCharType="separate"/>
      </w:r>
      <w:r w:rsidR="005F7EF3" w:rsidRPr="005F7EF3">
        <w:rPr>
          <w:b/>
          <w:bCs/>
          <w:lang w:val="en-US"/>
        </w:rPr>
        <w:t>4.5</w:t>
      </w:r>
      <w:r w:rsidR="005F7EF3" w:rsidRPr="005F7EF3">
        <w:rPr>
          <w:b/>
          <w:bCs/>
          <w:lang w:val="en-US"/>
        </w:rPr>
        <w:fldChar w:fldCharType="end"/>
      </w:r>
      <w:r w:rsidR="005F7EF3">
        <w:rPr>
          <w:lang w:val="en-US"/>
        </w:rPr>
        <w:t>)</w:t>
      </w:r>
    </w:p>
    <w:p w14:paraId="0B0F924D" w14:textId="3863AA2C" w:rsidR="00074647" w:rsidRDefault="00932EA7" w:rsidP="00FD7DBF">
      <w:pPr>
        <w:pStyle w:val="Heading2"/>
      </w:pPr>
      <w:bookmarkStart w:id="16" w:name="_Ref148430047"/>
      <w:bookmarkStart w:id="17" w:name="_Toc148457093"/>
      <w:r>
        <w:t>Product qualification</w:t>
      </w:r>
      <w:bookmarkEnd w:id="16"/>
      <w:bookmarkEnd w:id="17"/>
    </w:p>
    <w:p w14:paraId="1F607552" w14:textId="77777777" w:rsidR="00A37AC8" w:rsidRDefault="00A37AC8" w:rsidP="00A37AC8">
      <w:pPr>
        <w:pStyle w:val="Heading3"/>
      </w:pPr>
      <w:bookmarkStart w:id="18" w:name="_Ref148432199"/>
      <w:bookmarkStart w:id="19" w:name="_Toc148457094"/>
      <w:r>
        <w:t>Medical device qualification</w:t>
      </w:r>
      <w:bookmarkEnd w:id="18"/>
      <w:bookmarkEnd w:id="19"/>
    </w:p>
    <w:p w14:paraId="6020B876" w14:textId="50675FE4" w:rsidR="00A37AC8" w:rsidRDefault="00993B71" w:rsidP="00A37AC8">
      <w:pPr>
        <w:pStyle w:val="Heading4"/>
      </w:pPr>
      <w:bookmarkStart w:id="20" w:name="_Ref148432187"/>
      <w:r>
        <w:t>Definition</w:t>
      </w:r>
      <w:bookmarkEnd w:id="20"/>
    </w:p>
    <w:p w14:paraId="0FC4653D" w14:textId="27DC780E" w:rsidR="00993B71" w:rsidRDefault="00E74468" w:rsidP="00993B71">
      <w:r>
        <w:t>According to Article 2(1)</w:t>
      </w:r>
      <w:r w:rsidR="0088733F">
        <w:t xml:space="preserve"> of the MDR</w:t>
      </w:r>
      <w:r>
        <w:t>:</w:t>
      </w:r>
    </w:p>
    <w:p w14:paraId="0A41C768" w14:textId="77777777" w:rsidR="007B538A" w:rsidRDefault="007B538A" w:rsidP="00993B71"/>
    <w:p w14:paraId="49A2A1A8" w14:textId="4CA65E02" w:rsidR="00D8692B" w:rsidRPr="00A20307" w:rsidRDefault="00D8692B" w:rsidP="00A20307">
      <w:pPr>
        <w:ind w:left="708"/>
        <w:rPr>
          <w:i/>
          <w:iCs/>
        </w:rPr>
      </w:pPr>
      <w:r w:rsidRPr="00A20307">
        <w:rPr>
          <w:i/>
          <w:iCs/>
        </w:rPr>
        <w:t xml:space="preserve">‘medical device’ means any instrument, apparatus, appliance, software, implant, reagent, material or other article intended by the manufacturer to be used, alone or in combination, for human beings for one or more of the following specific medical purposes: </w:t>
      </w:r>
    </w:p>
    <w:p w14:paraId="1FC5B8C9" w14:textId="7BEB051D" w:rsidR="00D8692B" w:rsidRPr="00A20307" w:rsidRDefault="00D8692B" w:rsidP="00A20307">
      <w:pPr>
        <w:pStyle w:val="ListParagraph"/>
        <w:numPr>
          <w:ilvl w:val="0"/>
          <w:numId w:val="24"/>
        </w:numPr>
        <w:ind w:left="1428"/>
        <w:rPr>
          <w:i/>
          <w:iCs/>
          <w:lang w:val="en-US"/>
        </w:rPr>
      </w:pPr>
      <w:r w:rsidRPr="00A20307">
        <w:rPr>
          <w:i/>
          <w:iCs/>
          <w:lang w:val="en-US"/>
        </w:rPr>
        <w:t xml:space="preserve">diagnosis, prevention, monitoring, prediction, prognosis, treatment or alleviation of disease, </w:t>
      </w:r>
    </w:p>
    <w:p w14:paraId="0BA9F0E0" w14:textId="0B49AB4B" w:rsidR="00D8692B" w:rsidRPr="00A20307" w:rsidRDefault="00D8692B" w:rsidP="00A20307">
      <w:pPr>
        <w:pStyle w:val="ListParagraph"/>
        <w:numPr>
          <w:ilvl w:val="0"/>
          <w:numId w:val="24"/>
        </w:numPr>
        <w:ind w:left="1428"/>
        <w:rPr>
          <w:i/>
          <w:iCs/>
          <w:lang w:val="en-US"/>
        </w:rPr>
      </w:pPr>
      <w:r w:rsidRPr="00A20307">
        <w:rPr>
          <w:i/>
          <w:iCs/>
          <w:lang w:val="en-US"/>
        </w:rPr>
        <w:t xml:space="preserve">diagnosis, monitoring, treatment, alleviation of, or compensation for, an injury or disability, </w:t>
      </w:r>
    </w:p>
    <w:p w14:paraId="09948B25" w14:textId="6039283A" w:rsidR="00D8692B" w:rsidRPr="00A20307" w:rsidRDefault="00D8692B" w:rsidP="00A20307">
      <w:pPr>
        <w:pStyle w:val="ListParagraph"/>
        <w:numPr>
          <w:ilvl w:val="0"/>
          <w:numId w:val="24"/>
        </w:numPr>
        <w:ind w:left="1428"/>
        <w:rPr>
          <w:i/>
          <w:iCs/>
          <w:lang w:val="en-US"/>
        </w:rPr>
      </w:pPr>
      <w:r w:rsidRPr="00A20307">
        <w:rPr>
          <w:i/>
          <w:iCs/>
          <w:lang w:val="en-US"/>
        </w:rPr>
        <w:t xml:space="preserve">investigation, replacement or modification of the anatomy or of a physiological or pathological process or state, </w:t>
      </w:r>
    </w:p>
    <w:p w14:paraId="0AEE75ED" w14:textId="428E041F" w:rsidR="00D8692B" w:rsidRPr="00A20307" w:rsidRDefault="00D8692B" w:rsidP="00A20307">
      <w:pPr>
        <w:pStyle w:val="ListParagraph"/>
        <w:numPr>
          <w:ilvl w:val="0"/>
          <w:numId w:val="24"/>
        </w:numPr>
        <w:ind w:left="1428"/>
        <w:rPr>
          <w:i/>
          <w:iCs/>
          <w:lang w:val="en-US"/>
        </w:rPr>
      </w:pPr>
      <w:r w:rsidRPr="00A20307">
        <w:rPr>
          <w:i/>
          <w:iCs/>
          <w:lang w:val="en-US"/>
        </w:rPr>
        <w:t xml:space="preserve">providing information by means of in vitro examination of specimens derived from the human body, including organ, blood and tissue donations, and which does not achieve its principal intended action by pharmacological, immunological or metabolic means, in or on the human body, but which may be assisted in its function by such means. </w:t>
      </w:r>
    </w:p>
    <w:p w14:paraId="11A2231C" w14:textId="77777777" w:rsidR="00D8692B" w:rsidRPr="00A20307" w:rsidRDefault="00D8692B" w:rsidP="00A20307">
      <w:pPr>
        <w:ind w:left="708"/>
        <w:rPr>
          <w:i/>
          <w:iCs/>
        </w:rPr>
      </w:pPr>
    </w:p>
    <w:p w14:paraId="1DAA441D" w14:textId="77777777" w:rsidR="00D8692B" w:rsidRPr="00A20307" w:rsidRDefault="00D8692B" w:rsidP="00A20307">
      <w:pPr>
        <w:ind w:left="708"/>
        <w:rPr>
          <w:i/>
          <w:iCs/>
        </w:rPr>
      </w:pPr>
      <w:r w:rsidRPr="00A20307">
        <w:rPr>
          <w:i/>
          <w:iCs/>
        </w:rPr>
        <w:t xml:space="preserve">The following products shall also be deemed to be medical devices: </w:t>
      </w:r>
    </w:p>
    <w:p w14:paraId="35CFA366" w14:textId="0EB5E61E" w:rsidR="00D8692B" w:rsidRPr="00A20307" w:rsidRDefault="00D8692B" w:rsidP="00A20307">
      <w:pPr>
        <w:pStyle w:val="ListParagraph"/>
        <w:numPr>
          <w:ilvl w:val="0"/>
          <w:numId w:val="24"/>
        </w:numPr>
        <w:ind w:left="1428"/>
        <w:rPr>
          <w:i/>
          <w:iCs/>
          <w:lang w:val="en-US"/>
        </w:rPr>
      </w:pPr>
      <w:r w:rsidRPr="00A20307">
        <w:rPr>
          <w:i/>
          <w:iCs/>
          <w:lang w:val="en-US"/>
        </w:rPr>
        <w:t xml:space="preserve">devices for the control or support of conception; </w:t>
      </w:r>
    </w:p>
    <w:p w14:paraId="209D4EB6" w14:textId="405FB99E" w:rsidR="00E74468" w:rsidRPr="00A20307" w:rsidRDefault="00D8692B" w:rsidP="00A20307">
      <w:pPr>
        <w:pStyle w:val="ListParagraph"/>
        <w:numPr>
          <w:ilvl w:val="0"/>
          <w:numId w:val="24"/>
        </w:numPr>
        <w:ind w:left="1428"/>
        <w:rPr>
          <w:lang w:val="en-US"/>
        </w:rPr>
      </w:pPr>
      <w:r w:rsidRPr="00A20307">
        <w:rPr>
          <w:i/>
          <w:iCs/>
          <w:lang w:val="en-US"/>
        </w:rPr>
        <w:t>products specifically intended for the cleaning, disinfection or sterilisation of devices as referred to in Article 1(4) and of those referred to in the first paragraph of this point.</w:t>
      </w:r>
    </w:p>
    <w:p w14:paraId="7280FC15" w14:textId="77777777" w:rsidR="00993B71" w:rsidRPr="00993B71" w:rsidRDefault="00993B71" w:rsidP="00993B71"/>
    <w:p w14:paraId="47BDECB3" w14:textId="09DE9006" w:rsidR="00993B71" w:rsidRPr="00993B71" w:rsidRDefault="00993B71" w:rsidP="00993B71">
      <w:pPr>
        <w:pStyle w:val="Heading4"/>
      </w:pPr>
      <w:r>
        <w:t>Assessment</w:t>
      </w:r>
    </w:p>
    <w:p w14:paraId="3B0A8657" w14:textId="51E851C6" w:rsidR="00FD08AD" w:rsidRDefault="00A117AC" w:rsidP="00FD08AD">
      <w:r w:rsidRPr="00A117AC">
        <w:rPr>
          <w:highlight w:val="yellow"/>
        </w:rPr>
        <w:t>Include a solid justification that explains how the product meets the definition</w:t>
      </w:r>
      <w:r w:rsidR="00365AD1">
        <w:t>.</w:t>
      </w:r>
    </w:p>
    <w:p w14:paraId="01DB5BC0" w14:textId="77777777" w:rsidR="00D43B12" w:rsidRDefault="00D43B12" w:rsidP="00FD08AD"/>
    <w:p w14:paraId="0840D219" w14:textId="2EDF67EC" w:rsidR="00FD08AD" w:rsidRDefault="005D10A6" w:rsidP="005D10A6">
      <w:pPr>
        <w:pStyle w:val="Heading3"/>
      </w:pPr>
      <w:bookmarkStart w:id="21" w:name="_Toc148457095"/>
      <w:r>
        <w:t xml:space="preserve">Qualification of accessory </w:t>
      </w:r>
      <w:r w:rsidR="00920DDB">
        <w:t>for a</w:t>
      </w:r>
      <w:r>
        <w:t xml:space="preserve"> medical device</w:t>
      </w:r>
      <w:bookmarkEnd w:id="21"/>
    </w:p>
    <w:p w14:paraId="1169FC2C" w14:textId="041EF8ED" w:rsidR="00993B71" w:rsidRDefault="0086106C" w:rsidP="00993B71">
      <w:r>
        <w:rPr>
          <w:highlight w:val="yellow"/>
        </w:rPr>
        <w:t>Section t</w:t>
      </w:r>
      <w:r w:rsidRPr="0086106C">
        <w:rPr>
          <w:highlight w:val="yellow"/>
        </w:rPr>
        <w:t xml:space="preserve">o be removed if the product is already qualified in a category </w:t>
      </w:r>
      <w:r w:rsidR="005F1BAE" w:rsidRPr="0086106C">
        <w:rPr>
          <w:highlight w:val="yellow"/>
        </w:rPr>
        <w:t>abov</w:t>
      </w:r>
      <w:r w:rsidR="005F1BAE">
        <w:rPr>
          <w:highlight w:val="yellow"/>
        </w:rPr>
        <w:t>e or if not relevant</w:t>
      </w:r>
      <w:r w:rsidRPr="0086106C">
        <w:rPr>
          <w:highlight w:val="yellow"/>
        </w:rPr>
        <w:t>.</w:t>
      </w:r>
    </w:p>
    <w:p w14:paraId="7FA79FCF" w14:textId="77777777" w:rsidR="002A61DF" w:rsidRPr="00993B71" w:rsidRDefault="002A61DF" w:rsidP="00993B71"/>
    <w:p w14:paraId="6E03088B" w14:textId="77777777" w:rsidR="00993B71" w:rsidRDefault="00993B71" w:rsidP="00993B71">
      <w:pPr>
        <w:pStyle w:val="Heading4"/>
      </w:pPr>
      <w:r>
        <w:t>Definition</w:t>
      </w:r>
    </w:p>
    <w:p w14:paraId="056BA480" w14:textId="737A6E6D" w:rsidR="00993B71" w:rsidRDefault="0088733F" w:rsidP="00993B71">
      <w:r>
        <w:t>According to Article 2(2) of the MDR:</w:t>
      </w:r>
    </w:p>
    <w:p w14:paraId="40E295B2" w14:textId="77777777" w:rsidR="007B538A" w:rsidRDefault="007B538A" w:rsidP="00993B71"/>
    <w:p w14:paraId="70CD5D86" w14:textId="5FD79AC9" w:rsidR="0088733F" w:rsidRPr="0015735F" w:rsidRDefault="0088733F" w:rsidP="0015735F">
      <w:pPr>
        <w:ind w:left="794"/>
        <w:rPr>
          <w:i/>
          <w:iCs/>
        </w:rPr>
      </w:pPr>
      <w:r w:rsidRPr="0015735F">
        <w:rPr>
          <w:i/>
          <w:iCs/>
        </w:rPr>
        <w:lastRenderedPageBreak/>
        <w:t xml:space="preserve">‘accessory for a medical device’ means an article which, whilst not being itself a medical device, is intended by its manufacturer to be used together with one or several particular medical device(s) to specifically enable the medical device(s) to be used in accordance with its/their intended purpose(s) or to specifically and directly assist the medical functionality of the medical device(s) in terms of its/their intended purpose(s);  </w:t>
      </w:r>
    </w:p>
    <w:p w14:paraId="0D927A7A" w14:textId="77777777" w:rsidR="00993B71" w:rsidRPr="00993B71" w:rsidRDefault="00993B71" w:rsidP="00993B71"/>
    <w:p w14:paraId="477141BC" w14:textId="77777777" w:rsidR="00993B71" w:rsidRPr="00993B71" w:rsidRDefault="00993B71" w:rsidP="00993B71">
      <w:pPr>
        <w:pStyle w:val="Heading4"/>
      </w:pPr>
      <w:r>
        <w:t>Assessment</w:t>
      </w:r>
    </w:p>
    <w:p w14:paraId="01F231AC" w14:textId="1DE4F263" w:rsidR="00F554CE" w:rsidRDefault="00365AD1" w:rsidP="00993B71">
      <w:r w:rsidRPr="00A117AC">
        <w:rPr>
          <w:highlight w:val="yellow"/>
        </w:rPr>
        <w:t>Include a solid justification that explains how the product meets the definition</w:t>
      </w:r>
      <w:r>
        <w:t>.</w:t>
      </w:r>
    </w:p>
    <w:p w14:paraId="7E74586E" w14:textId="77777777" w:rsidR="0015735F" w:rsidRDefault="0015735F" w:rsidP="00993B71"/>
    <w:p w14:paraId="35E2813E" w14:textId="77777777" w:rsidR="00F554CE" w:rsidRDefault="00F554CE" w:rsidP="00F554CE">
      <w:pPr>
        <w:pStyle w:val="Heading3"/>
        <w:numPr>
          <w:ilvl w:val="2"/>
          <w:numId w:val="21"/>
        </w:numPr>
      </w:pPr>
      <w:bookmarkStart w:id="22" w:name="_Toc148457096"/>
      <w:r>
        <w:t>Custom-made device qualification</w:t>
      </w:r>
      <w:bookmarkEnd w:id="22"/>
    </w:p>
    <w:p w14:paraId="4D84EE68" w14:textId="44F1852D" w:rsidR="00F554CE" w:rsidRDefault="00F554CE" w:rsidP="00F554CE">
      <w:r>
        <w:rPr>
          <w:highlight w:val="yellow"/>
        </w:rPr>
        <w:t>Section t</w:t>
      </w:r>
      <w:r w:rsidRPr="0086106C">
        <w:rPr>
          <w:highlight w:val="yellow"/>
        </w:rPr>
        <w:t xml:space="preserve">o be removed if the product is already qualified in a category </w:t>
      </w:r>
      <w:r w:rsidR="005F1BAE" w:rsidRPr="0086106C">
        <w:rPr>
          <w:highlight w:val="yellow"/>
        </w:rPr>
        <w:t>abov</w:t>
      </w:r>
      <w:r w:rsidR="005F1BAE">
        <w:rPr>
          <w:highlight w:val="yellow"/>
        </w:rPr>
        <w:t>e or if not relevant</w:t>
      </w:r>
      <w:r w:rsidRPr="0086106C">
        <w:rPr>
          <w:highlight w:val="yellow"/>
        </w:rPr>
        <w:t>.</w:t>
      </w:r>
    </w:p>
    <w:p w14:paraId="1BCEE303" w14:textId="77777777" w:rsidR="002A61DF" w:rsidRPr="00993B71" w:rsidRDefault="002A61DF" w:rsidP="00F554CE"/>
    <w:p w14:paraId="7FBADF2C" w14:textId="77777777" w:rsidR="00F554CE" w:rsidRDefault="00F554CE" w:rsidP="00F554CE">
      <w:pPr>
        <w:pStyle w:val="Heading4"/>
      </w:pPr>
      <w:r>
        <w:t>Definition</w:t>
      </w:r>
    </w:p>
    <w:p w14:paraId="3F10A18E" w14:textId="6AB70AD3" w:rsidR="00F554CE" w:rsidRDefault="0015735F" w:rsidP="00F554CE">
      <w:r>
        <w:t>According to Article 2(3) of the MDR:</w:t>
      </w:r>
    </w:p>
    <w:p w14:paraId="3BFFC942" w14:textId="77777777" w:rsidR="007B538A" w:rsidRDefault="007B538A" w:rsidP="00F554CE"/>
    <w:p w14:paraId="4EFAE548" w14:textId="77777777" w:rsidR="0015735F" w:rsidRDefault="0015735F" w:rsidP="0015735F">
      <w:pPr>
        <w:ind w:left="794"/>
        <w:rPr>
          <w:i/>
          <w:iCs/>
        </w:rPr>
      </w:pPr>
      <w:r>
        <w:rPr>
          <w:i/>
          <w:iCs/>
        </w:rPr>
        <w:t>‘</w:t>
      </w:r>
      <w:r w:rsidRPr="0015735F">
        <w:rPr>
          <w:i/>
          <w:iCs/>
        </w:rPr>
        <w:t xml:space="preserve">custom-made device’ means any device specifically made in accordance with a written prescription of any person authorised by national law by virtue of that person's professional qualifications which gives, under that person's re sponsibility, specific design characteristics, and is intended for the sole use of a particular patient exclusively to meet their individual conditions and needs. </w:t>
      </w:r>
    </w:p>
    <w:p w14:paraId="0E82C6E1" w14:textId="77777777" w:rsidR="0015735F" w:rsidRDefault="0015735F" w:rsidP="0015735F">
      <w:pPr>
        <w:ind w:left="794"/>
        <w:rPr>
          <w:i/>
          <w:iCs/>
        </w:rPr>
      </w:pPr>
    </w:p>
    <w:p w14:paraId="795DA0D8" w14:textId="0A3AD825" w:rsidR="0015735F" w:rsidRPr="0015735F" w:rsidRDefault="0015735F" w:rsidP="0015735F">
      <w:pPr>
        <w:ind w:left="794"/>
        <w:rPr>
          <w:i/>
          <w:iCs/>
        </w:rPr>
      </w:pPr>
      <w:r w:rsidRPr="0015735F">
        <w:rPr>
          <w:i/>
          <w:iCs/>
        </w:rPr>
        <w:t xml:space="preserve">However, mass-produced devices which need to be adapted to meet the specific requirements of any professional user and devices which are mass-produced by means of industrial manufacturing processes in accordance with the written prescriptions of any authorised person shall not be considered to be custom-made devices;  </w:t>
      </w:r>
    </w:p>
    <w:p w14:paraId="7C12A71D" w14:textId="77777777" w:rsidR="00F554CE" w:rsidRPr="00993B71" w:rsidRDefault="00F554CE" w:rsidP="00F554CE"/>
    <w:p w14:paraId="72A1FE44" w14:textId="77777777" w:rsidR="00F554CE" w:rsidRPr="00993B71" w:rsidRDefault="00F554CE" w:rsidP="00F554CE">
      <w:pPr>
        <w:pStyle w:val="Heading4"/>
      </w:pPr>
      <w:r>
        <w:t>Assessment</w:t>
      </w:r>
    </w:p>
    <w:p w14:paraId="5EEC9A26" w14:textId="52B826E1" w:rsidR="00F554CE" w:rsidRDefault="00365AD1" w:rsidP="00993B71">
      <w:r w:rsidRPr="00A117AC">
        <w:rPr>
          <w:highlight w:val="yellow"/>
        </w:rPr>
        <w:t>Include a solid justification that explains how the product meets the definition</w:t>
      </w:r>
      <w:r>
        <w:t>.</w:t>
      </w:r>
    </w:p>
    <w:p w14:paraId="28FA771D" w14:textId="77777777" w:rsidR="00365AD1" w:rsidRDefault="00365AD1" w:rsidP="00993B71"/>
    <w:p w14:paraId="26F5CDED" w14:textId="77777777" w:rsidR="0086106C" w:rsidRDefault="0086106C" w:rsidP="0086106C">
      <w:pPr>
        <w:pStyle w:val="Heading3"/>
        <w:numPr>
          <w:ilvl w:val="2"/>
          <w:numId w:val="20"/>
        </w:numPr>
      </w:pPr>
      <w:bookmarkStart w:id="23" w:name="_Toc148457097"/>
      <w:r>
        <w:t>Qualification of system or procedure pack</w:t>
      </w:r>
      <w:bookmarkEnd w:id="23"/>
    </w:p>
    <w:p w14:paraId="3EE9B705" w14:textId="15BF9B7B" w:rsidR="0086106C" w:rsidRDefault="0086106C" w:rsidP="0086106C">
      <w:r>
        <w:rPr>
          <w:highlight w:val="yellow"/>
        </w:rPr>
        <w:t>Section t</w:t>
      </w:r>
      <w:r w:rsidRPr="0086106C">
        <w:rPr>
          <w:highlight w:val="yellow"/>
        </w:rPr>
        <w:t xml:space="preserve">o be removed if the product is already qualified in a category </w:t>
      </w:r>
      <w:r w:rsidR="005F1BAE" w:rsidRPr="0086106C">
        <w:rPr>
          <w:highlight w:val="yellow"/>
        </w:rPr>
        <w:t>abov</w:t>
      </w:r>
      <w:r w:rsidR="005F1BAE">
        <w:rPr>
          <w:highlight w:val="yellow"/>
        </w:rPr>
        <w:t>e or if not relevant</w:t>
      </w:r>
      <w:r w:rsidRPr="0086106C">
        <w:rPr>
          <w:highlight w:val="yellow"/>
        </w:rPr>
        <w:t>.</w:t>
      </w:r>
    </w:p>
    <w:p w14:paraId="56ED034C" w14:textId="77777777" w:rsidR="002A61DF" w:rsidRPr="00993B71" w:rsidRDefault="002A61DF" w:rsidP="0086106C"/>
    <w:p w14:paraId="271EFDF4" w14:textId="77777777" w:rsidR="0086106C" w:rsidRDefault="0086106C" w:rsidP="0086106C">
      <w:pPr>
        <w:pStyle w:val="Heading4"/>
      </w:pPr>
      <w:r>
        <w:t>Definition</w:t>
      </w:r>
    </w:p>
    <w:p w14:paraId="6B0149E3" w14:textId="47114E74" w:rsidR="0086106C" w:rsidRDefault="009C4EA9" w:rsidP="0086106C">
      <w:r>
        <w:t>According to Articles 2(10) and 2(11) respectively:</w:t>
      </w:r>
    </w:p>
    <w:p w14:paraId="3D5D5619" w14:textId="77777777" w:rsidR="007B538A" w:rsidRDefault="007B538A" w:rsidP="0086106C"/>
    <w:p w14:paraId="37165C1D" w14:textId="094AB74D" w:rsidR="009C4EA9" w:rsidRPr="007B538A" w:rsidRDefault="007B538A" w:rsidP="007B538A">
      <w:pPr>
        <w:ind w:left="708"/>
        <w:rPr>
          <w:i/>
          <w:iCs/>
        </w:rPr>
      </w:pPr>
      <w:r w:rsidRPr="007B538A">
        <w:rPr>
          <w:i/>
          <w:iCs/>
        </w:rPr>
        <w:t>‘procedure pack’ means a combination of products packaged together and placed on the market with the purpose of being used for a specific medical purpose;</w:t>
      </w:r>
    </w:p>
    <w:p w14:paraId="073DE24B" w14:textId="77777777" w:rsidR="007B538A" w:rsidRPr="007B538A" w:rsidRDefault="007B538A" w:rsidP="007B538A">
      <w:pPr>
        <w:ind w:left="708"/>
        <w:rPr>
          <w:i/>
          <w:iCs/>
        </w:rPr>
      </w:pPr>
    </w:p>
    <w:p w14:paraId="7D97D0A0" w14:textId="1CAD62CC" w:rsidR="007B538A" w:rsidRDefault="007B538A" w:rsidP="007B538A">
      <w:pPr>
        <w:ind w:left="708"/>
      </w:pPr>
      <w:r w:rsidRPr="007B538A">
        <w:rPr>
          <w:i/>
          <w:iCs/>
        </w:rPr>
        <w:t>‘system’ means a combination of products, either packaged together or not, which are intended to be inter- connected or combined to achieve a specific medical purpose;</w:t>
      </w:r>
    </w:p>
    <w:p w14:paraId="2B7C77E9" w14:textId="77777777" w:rsidR="0086106C" w:rsidRPr="00993B71" w:rsidRDefault="0086106C" w:rsidP="0086106C"/>
    <w:p w14:paraId="6110F597" w14:textId="77777777" w:rsidR="0086106C" w:rsidRPr="00993B71" w:rsidRDefault="0086106C" w:rsidP="0086106C">
      <w:pPr>
        <w:pStyle w:val="Heading4"/>
      </w:pPr>
      <w:r>
        <w:t>Assessment</w:t>
      </w:r>
    </w:p>
    <w:p w14:paraId="460117AA" w14:textId="298F2108" w:rsidR="0086106C" w:rsidRDefault="00365AD1" w:rsidP="0086106C">
      <w:r w:rsidRPr="00A117AC">
        <w:rPr>
          <w:highlight w:val="yellow"/>
        </w:rPr>
        <w:t>Include a solid justification that explains how the product meets the definition</w:t>
      </w:r>
      <w:r>
        <w:t>.</w:t>
      </w:r>
    </w:p>
    <w:p w14:paraId="6F28E8CF" w14:textId="77777777" w:rsidR="00365AD1" w:rsidRDefault="00365AD1" w:rsidP="0086106C"/>
    <w:p w14:paraId="32F5BE42" w14:textId="77777777" w:rsidR="0086106C" w:rsidRDefault="0086106C" w:rsidP="0086106C">
      <w:pPr>
        <w:pStyle w:val="Heading3"/>
      </w:pPr>
      <w:bookmarkStart w:id="24" w:name="_Toc148457098"/>
      <w:r>
        <w:t>Qualification of parts or components</w:t>
      </w:r>
      <w:bookmarkEnd w:id="24"/>
    </w:p>
    <w:p w14:paraId="1890BA3A" w14:textId="7A897F0B" w:rsidR="0086106C" w:rsidRDefault="0086106C" w:rsidP="0086106C">
      <w:r>
        <w:rPr>
          <w:highlight w:val="yellow"/>
        </w:rPr>
        <w:t>Section t</w:t>
      </w:r>
      <w:r w:rsidRPr="0086106C">
        <w:rPr>
          <w:highlight w:val="yellow"/>
        </w:rPr>
        <w:t xml:space="preserve">o be removed if the product is already qualified in a category </w:t>
      </w:r>
      <w:r w:rsidR="005F1BAE" w:rsidRPr="0086106C">
        <w:rPr>
          <w:highlight w:val="yellow"/>
        </w:rPr>
        <w:t>abov</w:t>
      </w:r>
      <w:r w:rsidR="005F1BAE">
        <w:rPr>
          <w:highlight w:val="yellow"/>
        </w:rPr>
        <w:t>e or if not relevant</w:t>
      </w:r>
      <w:r w:rsidRPr="0086106C">
        <w:rPr>
          <w:highlight w:val="yellow"/>
        </w:rPr>
        <w:t>.</w:t>
      </w:r>
    </w:p>
    <w:p w14:paraId="06AFB5C7" w14:textId="77777777" w:rsidR="002A61DF" w:rsidRPr="00993B71" w:rsidRDefault="002A61DF" w:rsidP="0086106C"/>
    <w:p w14:paraId="03450B28" w14:textId="77777777" w:rsidR="0086106C" w:rsidRDefault="0086106C" w:rsidP="0086106C">
      <w:pPr>
        <w:pStyle w:val="Heading4"/>
      </w:pPr>
      <w:r>
        <w:t>Definition</w:t>
      </w:r>
    </w:p>
    <w:p w14:paraId="0AC9A6F8" w14:textId="17AEB741" w:rsidR="0086106C" w:rsidRDefault="00D03E8A" w:rsidP="0086106C">
      <w:r>
        <w:t>According to Article 23 of the MDR:</w:t>
      </w:r>
    </w:p>
    <w:p w14:paraId="693CB260" w14:textId="77777777" w:rsidR="00D03E8A" w:rsidRDefault="00D03E8A" w:rsidP="0086106C"/>
    <w:p w14:paraId="3D6B67A0" w14:textId="28788C6B" w:rsidR="00D03E8A" w:rsidRDefault="00D03E8A" w:rsidP="00D03E8A">
      <w:pPr>
        <w:ind w:left="794"/>
        <w:rPr>
          <w:i/>
          <w:iCs/>
        </w:rPr>
      </w:pPr>
      <w:r>
        <w:rPr>
          <w:i/>
          <w:iCs/>
        </w:rPr>
        <w:t>‘</w:t>
      </w:r>
      <w:r w:rsidRPr="00D03E8A">
        <w:rPr>
          <w:i/>
          <w:iCs/>
        </w:rPr>
        <w:t>Parts and components</w:t>
      </w:r>
      <w:r>
        <w:rPr>
          <w:i/>
          <w:iCs/>
        </w:rPr>
        <w:t>’ mean</w:t>
      </w:r>
      <w:r w:rsidRPr="00D03E8A">
        <w:rPr>
          <w:i/>
          <w:iCs/>
        </w:rPr>
        <w:t xml:space="preserve"> item specifically intended to replace an identical or similar integral part or component of a device that is defective or worn in order to maintain or restore the function of the device without changing its performance or safety characteristics or its intended purpose</w:t>
      </w:r>
      <w:r w:rsidR="0060441C">
        <w:rPr>
          <w:i/>
          <w:iCs/>
        </w:rPr>
        <w:t>;</w:t>
      </w:r>
    </w:p>
    <w:p w14:paraId="771A6A76" w14:textId="77777777" w:rsidR="0060441C" w:rsidRDefault="0060441C" w:rsidP="00D03E8A">
      <w:pPr>
        <w:ind w:left="794"/>
        <w:rPr>
          <w:i/>
          <w:iCs/>
        </w:rPr>
      </w:pPr>
    </w:p>
    <w:p w14:paraId="1781AB17" w14:textId="77777777" w:rsidR="0086106C" w:rsidRPr="00993B71" w:rsidRDefault="0086106C" w:rsidP="0086106C">
      <w:pPr>
        <w:pStyle w:val="Heading4"/>
      </w:pPr>
      <w:r>
        <w:t>Assessment</w:t>
      </w:r>
    </w:p>
    <w:p w14:paraId="1EF1BEE0" w14:textId="6E3A69E3" w:rsidR="0086106C" w:rsidRDefault="00365AD1" w:rsidP="0086106C">
      <w:r w:rsidRPr="00A117AC">
        <w:rPr>
          <w:highlight w:val="yellow"/>
        </w:rPr>
        <w:t>Include a solid justification that explains how the product meets the definition</w:t>
      </w:r>
      <w:r>
        <w:t>.</w:t>
      </w:r>
    </w:p>
    <w:p w14:paraId="74E17D25" w14:textId="77777777" w:rsidR="00365AD1" w:rsidRDefault="00365AD1" w:rsidP="0086106C"/>
    <w:p w14:paraId="7AA9F302" w14:textId="2815963A" w:rsidR="00065B0F" w:rsidRDefault="00FB62BE" w:rsidP="00065B0F">
      <w:pPr>
        <w:pStyle w:val="Heading3"/>
      </w:pPr>
      <w:bookmarkStart w:id="25" w:name="_Toc148457099"/>
      <w:r>
        <w:t>Investigational device qualification</w:t>
      </w:r>
      <w:bookmarkEnd w:id="25"/>
    </w:p>
    <w:p w14:paraId="3403981C" w14:textId="4BCB8E8D" w:rsidR="0086106C" w:rsidRDefault="0086106C" w:rsidP="0086106C">
      <w:r>
        <w:rPr>
          <w:highlight w:val="yellow"/>
        </w:rPr>
        <w:t>Section t</w:t>
      </w:r>
      <w:r w:rsidRPr="0086106C">
        <w:rPr>
          <w:highlight w:val="yellow"/>
        </w:rPr>
        <w:t>o be removed if the product is already qualified in a category abov</w:t>
      </w:r>
      <w:r w:rsidR="005F1BAE">
        <w:rPr>
          <w:highlight w:val="yellow"/>
        </w:rPr>
        <w:t>e or if not relevant</w:t>
      </w:r>
      <w:r w:rsidR="002A61DF">
        <w:t>.</w:t>
      </w:r>
    </w:p>
    <w:p w14:paraId="4CF0C53D" w14:textId="77777777" w:rsidR="002A61DF" w:rsidRPr="00993B71" w:rsidRDefault="002A61DF" w:rsidP="0086106C"/>
    <w:p w14:paraId="08EF2C56" w14:textId="77777777" w:rsidR="0086106C" w:rsidRDefault="0086106C" w:rsidP="0086106C">
      <w:pPr>
        <w:pStyle w:val="Heading4"/>
      </w:pPr>
      <w:r>
        <w:t>Definition</w:t>
      </w:r>
    </w:p>
    <w:p w14:paraId="53CFFD66" w14:textId="45F7536C" w:rsidR="001913F2" w:rsidRDefault="001913F2" w:rsidP="0086106C">
      <w:r>
        <w:t>According to Article 2(46) of the MDR:</w:t>
      </w:r>
    </w:p>
    <w:p w14:paraId="174E6B5C" w14:textId="43DBD4FD" w:rsidR="001913F2" w:rsidRPr="001913F2" w:rsidRDefault="001913F2" w:rsidP="001913F2">
      <w:pPr>
        <w:ind w:left="86" w:firstLine="708"/>
        <w:rPr>
          <w:i/>
          <w:iCs/>
        </w:rPr>
      </w:pPr>
      <w:r w:rsidRPr="001913F2">
        <w:rPr>
          <w:i/>
          <w:iCs/>
        </w:rPr>
        <w:t>‘investigational device’ means a device that is assessed in a clinical investigation;</w:t>
      </w:r>
    </w:p>
    <w:p w14:paraId="2D3974C8" w14:textId="77777777" w:rsidR="0086106C" w:rsidRPr="00993B71" w:rsidRDefault="0086106C" w:rsidP="0086106C"/>
    <w:p w14:paraId="1041E796" w14:textId="77777777" w:rsidR="0086106C" w:rsidRPr="00993B71" w:rsidRDefault="0086106C" w:rsidP="0086106C">
      <w:pPr>
        <w:pStyle w:val="Heading4"/>
      </w:pPr>
      <w:r>
        <w:t>Assessment</w:t>
      </w:r>
    </w:p>
    <w:p w14:paraId="4B5E318B" w14:textId="02A4BF41" w:rsidR="0086106C" w:rsidRDefault="0044246D" w:rsidP="0086106C">
      <w:r w:rsidRPr="00A117AC">
        <w:rPr>
          <w:highlight w:val="yellow"/>
        </w:rPr>
        <w:t>Include a solid justification that explains how the product meets the definition</w:t>
      </w:r>
      <w:r>
        <w:t>.</w:t>
      </w:r>
    </w:p>
    <w:p w14:paraId="7B96D0D2" w14:textId="77777777" w:rsidR="0044246D" w:rsidRDefault="0044246D" w:rsidP="0086106C"/>
    <w:p w14:paraId="1714FBC5" w14:textId="77777777" w:rsidR="007A6B02" w:rsidRDefault="007A6B02" w:rsidP="007A6B02">
      <w:pPr>
        <w:pStyle w:val="Heading3"/>
      </w:pPr>
      <w:bookmarkStart w:id="26" w:name="_Toc148457100"/>
      <w:r w:rsidRPr="007A6B02">
        <w:t>Qualification of device without an intended medical purpose</w:t>
      </w:r>
      <w:bookmarkEnd w:id="26"/>
    </w:p>
    <w:p w14:paraId="15C1057B" w14:textId="502D5F67" w:rsidR="0086106C" w:rsidRDefault="0086106C" w:rsidP="0086106C">
      <w:r>
        <w:rPr>
          <w:highlight w:val="yellow"/>
        </w:rPr>
        <w:t>Section t</w:t>
      </w:r>
      <w:r w:rsidRPr="0086106C">
        <w:rPr>
          <w:highlight w:val="yellow"/>
        </w:rPr>
        <w:t xml:space="preserve">o be removed if the product is already qualified in a category </w:t>
      </w:r>
      <w:r w:rsidR="005F1BAE" w:rsidRPr="0086106C">
        <w:rPr>
          <w:highlight w:val="yellow"/>
        </w:rPr>
        <w:t>abov</w:t>
      </w:r>
      <w:r w:rsidR="005F1BAE">
        <w:rPr>
          <w:highlight w:val="yellow"/>
        </w:rPr>
        <w:t>e or if not relevant</w:t>
      </w:r>
      <w:r w:rsidRPr="0086106C">
        <w:rPr>
          <w:highlight w:val="yellow"/>
        </w:rPr>
        <w:t>.</w:t>
      </w:r>
    </w:p>
    <w:p w14:paraId="3C945888" w14:textId="77777777" w:rsidR="002A61DF" w:rsidRPr="00993B71" w:rsidRDefault="002A61DF" w:rsidP="0086106C"/>
    <w:p w14:paraId="28FBE9F2" w14:textId="77777777" w:rsidR="0086106C" w:rsidRDefault="0086106C" w:rsidP="0086106C">
      <w:pPr>
        <w:pStyle w:val="Heading4"/>
      </w:pPr>
      <w:r>
        <w:t>Definition</w:t>
      </w:r>
    </w:p>
    <w:p w14:paraId="634AAD79" w14:textId="426E709F" w:rsidR="0086106C" w:rsidRDefault="00F97A8C" w:rsidP="0086106C">
      <w:r>
        <w:t>Products qualified as devices without an intended medical purpose, are</w:t>
      </w:r>
      <w:r w:rsidR="0004300E">
        <w:t xml:space="preserve"> the </w:t>
      </w:r>
      <w:r w:rsidR="003B521D">
        <w:t>product</w:t>
      </w:r>
      <w:r w:rsidR="001841FD">
        <w:t>s</w:t>
      </w:r>
      <w:r w:rsidR="003B521D">
        <w:t xml:space="preserve"> that do not meet </w:t>
      </w:r>
      <w:r w:rsidR="001841FD">
        <w:t>one of the medical purposes of the</w:t>
      </w:r>
      <w:r w:rsidR="003B521D">
        <w:t xml:space="preserve"> medical device</w:t>
      </w:r>
      <w:r w:rsidR="001841FD">
        <w:t xml:space="preserve"> definition (see </w:t>
      </w:r>
      <w:r w:rsidR="001841FD" w:rsidRPr="009C091B">
        <w:rPr>
          <w:b/>
          <w:bCs/>
        </w:rPr>
        <w:t>Section</w:t>
      </w:r>
      <w:r w:rsidR="009C091B" w:rsidRPr="009C091B">
        <w:rPr>
          <w:b/>
          <w:bCs/>
        </w:rPr>
        <w:t xml:space="preserve"> </w:t>
      </w:r>
      <w:r w:rsidR="009C091B" w:rsidRPr="009C091B">
        <w:rPr>
          <w:b/>
          <w:bCs/>
        </w:rPr>
        <w:fldChar w:fldCharType="begin"/>
      </w:r>
      <w:r w:rsidR="009C091B" w:rsidRPr="009C091B">
        <w:rPr>
          <w:b/>
          <w:bCs/>
        </w:rPr>
        <w:instrText xml:space="preserve"> REF _Ref148432199 \r \h </w:instrText>
      </w:r>
      <w:r w:rsidR="009C091B">
        <w:rPr>
          <w:b/>
          <w:bCs/>
        </w:rPr>
        <w:instrText xml:space="preserve"> \* MERGEFORMAT </w:instrText>
      </w:r>
      <w:r w:rsidR="009C091B" w:rsidRPr="009C091B">
        <w:rPr>
          <w:b/>
          <w:bCs/>
        </w:rPr>
      </w:r>
      <w:r w:rsidR="009C091B" w:rsidRPr="009C091B">
        <w:rPr>
          <w:b/>
          <w:bCs/>
        </w:rPr>
        <w:fldChar w:fldCharType="separate"/>
      </w:r>
      <w:r w:rsidR="009C091B" w:rsidRPr="009C091B">
        <w:rPr>
          <w:b/>
          <w:bCs/>
        </w:rPr>
        <w:t>4.2.1</w:t>
      </w:r>
      <w:r w:rsidR="009C091B" w:rsidRPr="009C091B">
        <w:rPr>
          <w:b/>
          <w:bCs/>
        </w:rPr>
        <w:fldChar w:fldCharType="end"/>
      </w:r>
      <w:r w:rsidR="001841FD">
        <w:t>)</w:t>
      </w:r>
      <w:r>
        <w:t xml:space="preserve"> </w:t>
      </w:r>
      <w:r w:rsidR="0037449C">
        <w:t xml:space="preserve">and are included into one of the categories </w:t>
      </w:r>
      <w:r>
        <w:t>defined in Annex XVI of the MDR</w:t>
      </w:r>
      <w:r w:rsidR="00421F8D">
        <w:t>:</w:t>
      </w:r>
    </w:p>
    <w:p w14:paraId="030FFA25" w14:textId="77777777" w:rsidR="00DD4437" w:rsidRDefault="00DD4437" w:rsidP="0086106C"/>
    <w:p w14:paraId="5DD6B65B" w14:textId="08340298" w:rsidR="00421F8D" w:rsidRPr="00DD4437" w:rsidRDefault="00E36A5F" w:rsidP="00421F8D">
      <w:pPr>
        <w:pStyle w:val="ListParagraph"/>
        <w:numPr>
          <w:ilvl w:val="0"/>
          <w:numId w:val="26"/>
        </w:numPr>
        <w:rPr>
          <w:i/>
          <w:iCs/>
          <w:lang w:val="en-US"/>
        </w:rPr>
      </w:pPr>
      <w:r w:rsidRPr="00DD4437">
        <w:rPr>
          <w:i/>
          <w:iCs/>
          <w:lang w:val="en-US"/>
        </w:rPr>
        <w:t>Contact lenses or other items intended to be introduced into or onto the eye.</w:t>
      </w:r>
    </w:p>
    <w:p w14:paraId="7AE1328D" w14:textId="150E65EB" w:rsidR="00E36A5F" w:rsidRPr="00DD4437" w:rsidRDefault="00B63BC1" w:rsidP="00421F8D">
      <w:pPr>
        <w:pStyle w:val="ListParagraph"/>
        <w:numPr>
          <w:ilvl w:val="0"/>
          <w:numId w:val="26"/>
        </w:numPr>
        <w:rPr>
          <w:i/>
          <w:iCs/>
          <w:lang w:val="en-US"/>
        </w:rPr>
      </w:pPr>
      <w:r w:rsidRPr="00DD4437">
        <w:rPr>
          <w:i/>
          <w:iCs/>
          <w:lang w:val="en-US"/>
        </w:rPr>
        <w:t>Products intended to be totally or partially introduced into the human body through surgically invasive means for the purpose of modifying the anatomy or fixation of body parts with the exception of tattooing products and piercings.</w:t>
      </w:r>
    </w:p>
    <w:p w14:paraId="1CFE9C32" w14:textId="4D4C6C6D" w:rsidR="00B63BC1" w:rsidRPr="00DD4437" w:rsidRDefault="00B63BC1" w:rsidP="00421F8D">
      <w:pPr>
        <w:pStyle w:val="ListParagraph"/>
        <w:numPr>
          <w:ilvl w:val="0"/>
          <w:numId w:val="26"/>
        </w:numPr>
        <w:rPr>
          <w:i/>
          <w:iCs/>
          <w:lang w:val="en-US"/>
        </w:rPr>
      </w:pPr>
      <w:r w:rsidRPr="00DD4437">
        <w:rPr>
          <w:i/>
          <w:iCs/>
          <w:lang w:val="en-US"/>
        </w:rPr>
        <w:t>Substances, combinations of substances, or items intended to be used for facial or other dermal or mucous membrane filling by subcutaneous, submucous or intradermal injection or other introduction, excluding those for tattooing.</w:t>
      </w:r>
    </w:p>
    <w:p w14:paraId="7A3D9B8E" w14:textId="4D9FC7DD" w:rsidR="00B63BC1" w:rsidRPr="00DD4437" w:rsidRDefault="00B63BC1" w:rsidP="00421F8D">
      <w:pPr>
        <w:pStyle w:val="ListParagraph"/>
        <w:numPr>
          <w:ilvl w:val="0"/>
          <w:numId w:val="26"/>
        </w:numPr>
        <w:rPr>
          <w:i/>
          <w:iCs/>
          <w:lang w:val="en-US"/>
        </w:rPr>
      </w:pPr>
      <w:r w:rsidRPr="00DD4437">
        <w:rPr>
          <w:i/>
          <w:iCs/>
          <w:lang w:val="en-US"/>
        </w:rPr>
        <w:t>Equipment intended to be used to reduce, remove or destroy adipose tissue, such as equipment for liposuction, lipolysis or lipoplasty.</w:t>
      </w:r>
    </w:p>
    <w:p w14:paraId="2D9FC38F" w14:textId="7909C2AB" w:rsidR="00B63BC1" w:rsidRPr="00DD4437" w:rsidRDefault="00B63BC1" w:rsidP="00421F8D">
      <w:pPr>
        <w:pStyle w:val="ListParagraph"/>
        <w:numPr>
          <w:ilvl w:val="0"/>
          <w:numId w:val="26"/>
        </w:numPr>
        <w:rPr>
          <w:i/>
          <w:iCs/>
          <w:lang w:val="en-US"/>
        </w:rPr>
      </w:pPr>
      <w:r w:rsidRPr="00DD4437">
        <w:rPr>
          <w:i/>
          <w:iCs/>
          <w:lang w:val="en-US"/>
        </w:rPr>
        <w:t>High intensity electromagnetic radiation (e.g. infra-red, visible light and ultra-violet) emitting equipment intended for use on the human body, including coherent and non-coherent sources, monochromatic and broad spectrum, such as lasers and intense pulsed light equipment, for skin resurfacing, tattoo or hair removal or other skin treatment.</w:t>
      </w:r>
    </w:p>
    <w:p w14:paraId="49CBEF47" w14:textId="0945EF98" w:rsidR="00B63BC1" w:rsidRPr="00DD4437" w:rsidRDefault="00DD4437" w:rsidP="00421F8D">
      <w:pPr>
        <w:pStyle w:val="ListParagraph"/>
        <w:numPr>
          <w:ilvl w:val="0"/>
          <w:numId w:val="26"/>
        </w:numPr>
        <w:rPr>
          <w:i/>
          <w:iCs/>
          <w:lang w:val="en-US"/>
        </w:rPr>
      </w:pPr>
      <w:r w:rsidRPr="00DD4437">
        <w:rPr>
          <w:i/>
          <w:iCs/>
          <w:lang w:val="en-US"/>
        </w:rPr>
        <w:t>Equipment intended for brain stimulation that apply electrical currents or magnetic or electromagnetic fields that penetrate the cranium to modify neuronal activity in the brain.</w:t>
      </w:r>
    </w:p>
    <w:p w14:paraId="42EDDC84" w14:textId="77777777" w:rsidR="0086106C" w:rsidRPr="00993B71" w:rsidRDefault="0086106C" w:rsidP="0086106C"/>
    <w:p w14:paraId="3A317A76" w14:textId="77777777" w:rsidR="0086106C" w:rsidRPr="00993B71" w:rsidRDefault="0086106C" w:rsidP="0086106C">
      <w:pPr>
        <w:pStyle w:val="Heading4"/>
      </w:pPr>
      <w:r>
        <w:t>Assessment</w:t>
      </w:r>
    </w:p>
    <w:p w14:paraId="1733D7C9" w14:textId="4F96E923" w:rsidR="0086106C" w:rsidRDefault="0044246D" w:rsidP="0086106C">
      <w:r w:rsidRPr="00A117AC">
        <w:rPr>
          <w:highlight w:val="yellow"/>
        </w:rPr>
        <w:t>Include a solid justification that explains how the product meets the definition</w:t>
      </w:r>
      <w:r>
        <w:t>.</w:t>
      </w:r>
    </w:p>
    <w:p w14:paraId="5DEC4C16" w14:textId="77777777" w:rsidR="0044246D" w:rsidRDefault="0044246D" w:rsidP="0086106C"/>
    <w:p w14:paraId="09973F9D" w14:textId="2B86A359" w:rsidR="00FB62BE" w:rsidRDefault="00611478" w:rsidP="00611478">
      <w:pPr>
        <w:pStyle w:val="Heading3"/>
      </w:pPr>
      <w:bookmarkStart w:id="27" w:name="_Toc148457101"/>
      <w:r>
        <w:t xml:space="preserve">Qualification of </w:t>
      </w:r>
      <w:r w:rsidR="00EA4358">
        <w:t>combination product</w:t>
      </w:r>
      <w:bookmarkEnd w:id="27"/>
    </w:p>
    <w:p w14:paraId="0E66212E" w14:textId="7DF82EFC" w:rsidR="0086106C" w:rsidRDefault="0086106C" w:rsidP="0086106C">
      <w:r>
        <w:rPr>
          <w:highlight w:val="yellow"/>
        </w:rPr>
        <w:t>Section t</w:t>
      </w:r>
      <w:r w:rsidRPr="0086106C">
        <w:rPr>
          <w:highlight w:val="yellow"/>
        </w:rPr>
        <w:t xml:space="preserve">o be removed if the product is already qualified in a category </w:t>
      </w:r>
      <w:r w:rsidR="005F1BAE" w:rsidRPr="0086106C">
        <w:rPr>
          <w:highlight w:val="yellow"/>
        </w:rPr>
        <w:t>abov</w:t>
      </w:r>
      <w:r w:rsidR="005F1BAE">
        <w:rPr>
          <w:highlight w:val="yellow"/>
        </w:rPr>
        <w:t>e or if not relevant</w:t>
      </w:r>
      <w:r w:rsidRPr="0086106C">
        <w:rPr>
          <w:highlight w:val="yellow"/>
        </w:rPr>
        <w:t>.</w:t>
      </w:r>
    </w:p>
    <w:p w14:paraId="2048017C" w14:textId="77777777" w:rsidR="002A61DF" w:rsidRPr="00993B71" w:rsidRDefault="002A61DF" w:rsidP="0086106C"/>
    <w:p w14:paraId="7F139735" w14:textId="77777777" w:rsidR="0086106C" w:rsidRDefault="0086106C" w:rsidP="0086106C">
      <w:pPr>
        <w:pStyle w:val="Heading4"/>
      </w:pPr>
      <w:r>
        <w:lastRenderedPageBreak/>
        <w:t>Definition</w:t>
      </w:r>
    </w:p>
    <w:p w14:paraId="519CE2E7" w14:textId="28877182" w:rsidR="00404BB2" w:rsidRDefault="00404BB2" w:rsidP="0086106C">
      <w:r>
        <w:t>According to Article 1(8) of the MDR:</w:t>
      </w:r>
    </w:p>
    <w:p w14:paraId="601A4FE7" w14:textId="77777777" w:rsidR="00404BB2" w:rsidRDefault="00404BB2" w:rsidP="0086106C"/>
    <w:p w14:paraId="66CAC67D" w14:textId="61447F58" w:rsidR="001558CA" w:rsidRPr="001558CA" w:rsidRDefault="001558CA" w:rsidP="001558CA">
      <w:pPr>
        <w:ind w:left="708"/>
        <w:rPr>
          <w:i/>
          <w:iCs/>
        </w:rPr>
      </w:pPr>
      <w:r w:rsidRPr="001558CA">
        <w:rPr>
          <w:i/>
          <w:iCs/>
        </w:rPr>
        <w:t xml:space="preserve">Any device which, when placed on the market or put into service, incorporates, as an integral part, a substance which, if used separately, would be considered to be a medicinal product as defined in point 2 of Article 1 of Directive 2001/83/EC, including a medicinal product derived from human blood or human plasma as defined in point 10 of Article 1 of that Directive, and that has an action ancillary to that of the device, shall be assessed and authorised in accordance with this Regulation. </w:t>
      </w:r>
    </w:p>
    <w:p w14:paraId="49C337E7" w14:textId="77777777" w:rsidR="001558CA" w:rsidRPr="001558CA" w:rsidRDefault="001558CA" w:rsidP="001558CA">
      <w:pPr>
        <w:ind w:left="708"/>
        <w:rPr>
          <w:i/>
          <w:iCs/>
        </w:rPr>
      </w:pPr>
    </w:p>
    <w:p w14:paraId="58DF2837" w14:textId="0C2D87E6" w:rsidR="00404BB2" w:rsidRDefault="001558CA" w:rsidP="001558CA">
      <w:pPr>
        <w:ind w:left="708"/>
        <w:rPr>
          <w:i/>
          <w:iCs/>
        </w:rPr>
      </w:pPr>
      <w:r w:rsidRPr="001558CA">
        <w:rPr>
          <w:i/>
          <w:iCs/>
        </w:rPr>
        <w:t>However, if the action of that substance is principal and not ancillary to that of the device, the integral product shall be governed by Directive 2001/83/EC or Regulation (EC) No 726/2004 of the European Parliament and of the Council (1), as applicable. In that case, the relevant general safety and performance requirements set out in Annex I to this Regulation shall apply as far as the safety and performance of the device part are concerned.</w:t>
      </w:r>
    </w:p>
    <w:p w14:paraId="0CB0E067" w14:textId="77777777" w:rsidR="00187186" w:rsidRDefault="00187186" w:rsidP="001558CA">
      <w:pPr>
        <w:ind w:left="708"/>
        <w:rPr>
          <w:i/>
          <w:iCs/>
        </w:rPr>
      </w:pPr>
    </w:p>
    <w:p w14:paraId="50066218" w14:textId="1A980C97" w:rsidR="00187186" w:rsidRDefault="00187186" w:rsidP="00187186">
      <w:r>
        <w:t>According to Article 1(9) of the MDR:</w:t>
      </w:r>
    </w:p>
    <w:p w14:paraId="4F985107" w14:textId="77777777" w:rsidR="00187186" w:rsidRDefault="00187186" w:rsidP="00187186"/>
    <w:p w14:paraId="213494E4" w14:textId="77777777" w:rsidR="009130E4" w:rsidRPr="009130E4" w:rsidRDefault="009130E4" w:rsidP="009130E4">
      <w:pPr>
        <w:ind w:left="708"/>
        <w:rPr>
          <w:i/>
          <w:iCs/>
        </w:rPr>
      </w:pPr>
      <w:r w:rsidRPr="009130E4">
        <w:rPr>
          <w:i/>
          <w:iCs/>
        </w:rPr>
        <w:t xml:space="preserve">Any device which is intended to administer a medicinal product as defined in point 2 of Article 1 of Directive 2001/83/EC shall be governed by this Regulation, without prejudice to the provisions of that Directive and of Regulation (EC) No 726/2004 with regard to the medicinal product. </w:t>
      </w:r>
    </w:p>
    <w:p w14:paraId="423FFDBF" w14:textId="77777777" w:rsidR="009130E4" w:rsidRPr="009130E4" w:rsidRDefault="009130E4" w:rsidP="009130E4">
      <w:pPr>
        <w:ind w:left="708"/>
        <w:rPr>
          <w:i/>
          <w:iCs/>
        </w:rPr>
      </w:pPr>
    </w:p>
    <w:p w14:paraId="61B35CA2" w14:textId="7940B3D5" w:rsidR="00187186" w:rsidRPr="00187186" w:rsidRDefault="009130E4" w:rsidP="009130E4">
      <w:pPr>
        <w:ind w:left="708"/>
      </w:pPr>
      <w:r w:rsidRPr="009130E4">
        <w:rPr>
          <w:i/>
          <w:iCs/>
        </w:rPr>
        <w:t>However, if the device intended to administer a medicinal product and the medicinal product are placed on the market in such a way that they form a single integral product which is intended exclusively for use in the given combination and which is not reusable, that single integral product shall be governed by Directive 2001/83/EC or Regulation (EC) No 726/2004, as applicable. In that case, the relevant general safety and performance requirements set out in Annex I to this Regulation shall apply as far as the safety and performance of the device part of the single integral product are concerned.</w:t>
      </w:r>
    </w:p>
    <w:p w14:paraId="71964AAE" w14:textId="77777777" w:rsidR="0086106C" w:rsidRPr="00993B71" w:rsidRDefault="0086106C" w:rsidP="0086106C"/>
    <w:p w14:paraId="2DBBFAE2" w14:textId="77777777" w:rsidR="0086106C" w:rsidRPr="00993B71" w:rsidRDefault="0086106C" w:rsidP="0086106C">
      <w:pPr>
        <w:pStyle w:val="Heading4"/>
      </w:pPr>
      <w:r>
        <w:t>Assessment</w:t>
      </w:r>
    </w:p>
    <w:p w14:paraId="47E45356" w14:textId="3D11CFB5" w:rsidR="00DD57ED" w:rsidRDefault="0044246D" w:rsidP="0086106C">
      <w:r w:rsidRPr="00A117AC">
        <w:rPr>
          <w:highlight w:val="yellow"/>
        </w:rPr>
        <w:t>Include a solid justification that explains how the product meets the definition</w:t>
      </w:r>
      <w:r>
        <w:t>.</w:t>
      </w:r>
    </w:p>
    <w:p w14:paraId="4D0D1F1C" w14:textId="7D5CD250" w:rsidR="00721D34" w:rsidRDefault="00DA37E3" w:rsidP="00721D34">
      <w:pPr>
        <w:pStyle w:val="Heading2"/>
      </w:pPr>
      <w:bookmarkStart w:id="28" w:name="_Ref148430085"/>
      <w:bookmarkStart w:id="29" w:name="_Toc148457102"/>
      <w:r>
        <w:t>Device classification</w:t>
      </w:r>
      <w:bookmarkEnd w:id="28"/>
      <w:bookmarkEnd w:id="29"/>
    </w:p>
    <w:p w14:paraId="1E3E41D1" w14:textId="6563D544" w:rsidR="00A1526B" w:rsidRDefault="00657E89" w:rsidP="00DA37E3">
      <w:r>
        <w:t xml:space="preserve">The device classification </w:t>
      </w:r>
      <w:r w:rsidR="006834AF">
        <w:t>is defined per Annex VIII of the MDR and based on the following guidance documents:</w:t>
      </w:r>
    </w:p>
    <w:p w14:paraId="1D81ECEA" w14:textId="0EE0DB0A" w:rsidR="006834AF" w:rsidRPr="006834AF" w:rsidRDefault="006834AF" w:rsidP="006834AF">
      <w:pPr>
        <w:pStyle w:val="ListParagraph"/>
        <w:numPr>
          <w:ilvl w:val="0"/>
          <w:numId w:val="22"/>
        </w:numPr>
        <w:rPr>
          <w:highlight w:val="yellow"/>
          <w:lang w:val="en-US"/>
        </w:rPr>
      </w:pPr>
      <w:r w:rsidRPr="006834AF">
        <w:rPr>
          <w:highlight w:val="yellow"/>
          <w:lang w:val="en-US"/>
        </w:rPr>
        <w:t>To be removed when not relevant</w:t>
      </w:r>
    </w:p>
    <w:p w14:paraId="3CC87084" w14:textId="2B2F075A" w:rsidR="00E5089E" w:rsidRPr="001124E7" w:rsidRDefault="00E5089E" w:rsidP="006834AF">
      <w:pPr>
        <w:pStyle w:val="ListParagraph"/>
        <w:numPr>
          <w:ilvl w:val="0"/>
          <w:numId w:val="22"/>
        </w:numPr>
        <w:rPr>
          <w:color w:val="FF0000"/>
          <w:lang w:val="en-US"/>
        </w:rPr>
      </w:pPr>
      <w:r w:rsidRPr="001124E7">
        <w:rPr>
          <w:color w:val="FF0000"/>
          <w:lang w:val="en-US"/>
        </w:rPr>
        <w:t xml:space="preserve">MDCG 2019-11 - </w:t>
      </w:r>
      <w:r w:rsidR="00951DD4" w:rsidRPr="001124E7">
        <w:rPr>
          <w:color w:val="FF0000"/>
          <w:lang w:val="en-US"/>
        </w:rPr>
        <w:t>Qualification and classification of software - Regulation (EU) 2017/745 and Regulation (EU) 2017/746</w:t>
      </w:r>
    </w:p>
    <w:p w14:paraId="5ECB7D42" w14:textId="77777777" w:rsidR="00951DD4" w:rsidRPr="001124E7" w:rsidRDefault="00951DD4" w:rsidP="00951DD4">
      <w:pPr>
        <w:pStyle w:val="ListParagraph"/>
        <w:numPr>
          <w:ilvl w:val="0"/>
          <w:numId w:val="22"/>
        </w:numPr>
        <w:rPr>
          <w:color w:val="FF0000"/>
          <w:lang w:val="en-US"/>
        </w:rPr>
      </w:pPr>
      <w:r w:rsidRPr="001124E7">
        <w:rPr>
          <w:color w:val="FF0000"/>
          <w:lang w:val="en-US"/>
        </w:rPr>
        <w:t>MDCG 2021-24 - Guidance on classification of medical devices</w:t>
      </w:r>
    </w:p>
    <w:p w14:paraId="7E1E612C" w14:textId="4B37F540" w:rsidR="00BD3A66" w:rsidRPr="001124E7" w:rsidRDefault="00D352C8" w:rsidP="006834AF">
      <w:pPr>
        <w:pStyle w:val="ListParagraph"/>
        <w:numPr>
          <w:ilvl w:val="0"/>
          <w:numId w:val="22"/>
        </w:numPr>
        <w:rPr>
          <w:color w:val="FF0000"/>
          <w:lang w:val="en-US"/>
        </w:rPr>
      </w:pPr>
      <w:r w:rsidRPr="001124E7">
        <w:rPr>
          <w:color w:val="FF0000"/>
          <w:lang w:val="en-US"/>
        </w:rPr>
        <w:t>MDCG 2022-5 - Guidance on borderline between medical devices and medicinal products under Regulation (EU) 2017/745 on medical devices</w:t>
      </w:r>
    </w:p>
    <w:p w14:paraId="0F8B66BA" w14:textId="77777777" w:rsidR="00FB08A3" w:rsidRPr="001124E7" w:rsidRDefault="00FB08A3" w:rsidP="00FB08A3">
      <w:pPr>
        <w:pStyle w:val="ListParagraph"/>
        <w:numPr>
          <w:ilvl w:val="0"/>
          <w:numId w:val="22"/>
        </w:numPr>
        <w:rPr>
          <w:color w:val="FF0000"/>
          <w:lang w:val="en-US"/>
        </w:rPr>
      </w:pPr>
      <w:r w:rsidRPr="001124E7">
        <w:rPr>
          <w:color w:val="FF0000"/>
          <w:lang w:val="en-US"/>
        </w:rPr>
        <w:t>Manual on borderline and classification under Regulations (EU) 2017/745 and 2017/746</w:t>
      </w:r>
    </w:p>
    <w:p w14:paraId="4763AEA1" w14:textId="77777777" w:rsidR="006834AF" w:rsidRDefault="006834AF" w:rsidP="00DA37E3"/>
    <w:p w14:paraId="5F63FA73" w14:textId="3EE169EB" w:rsidR="00874D01" w:rsidRDefault="00D12235" w:rsidP="00874D01">
      <w:pPr>
        <w:pStyle w:val="Heading3"/>
      </w:pPr>
      <w:bookmarkStart w:id="30" w:name="_Ref148442023"/>
      <w:bookmarkStart w:id="31" w:name="_Toc148457103"/>
      <w:r>
        <w:t>D</w:t>
      </w:r>
      <w:r w:rsidR="002A104E">
        <w:t>evice</w:t>
      </w:r>
      <w:r>
        <w:t xml:space="preserve"> characteristics</w:t>
      </w:r>
      <w:bookmarkEnd w:id="30"/>
      <w:bookmarkEnd w:id="31"/>
    </w:p>
    <w:p w14:paraId="1C5449C1" w14:textId="08C8F652" w:rsidR="00FE1EBC" w:rsidRDefault="00F740E3" w:rsidP="00D12235">
      <w:r>
        <w:t>MDR</w:t>
      </w:r>
      <w:r w:rsidR="00ED6104">
        <w:t xml:space="preserve"> and applicable MDCG guidance documents</w:t>
      </w:r>
      <w:r w:rsidR="00D04099">
        <w:t xml:space="preserve"> describe the </w:t>
      </w:r>
      <w:r w:rsidR="00FE1EBC">
        <w:t xml:space="preserve">device </w:t>
      </w:r>
      <w:r w:rsidR="00D04099">
        <w:t xml:space="preserve">characteristics </w:t>
      </w:r>
      <w:r w:rsidR="00FE1EBC">
        <w:t>necessary to determine the classification</w:t>
      </w:r>
      <w:r w:rsidR="00325F1D">
        <w:t xml:space="preserve"> and regulatory route of conformity.</w:t>
      </w:r>
    </w:p>
    <w:p w14:paraId="2E087E02" w14:textId="77777777" w:rsidR="003F0802" w:rsidRDefault="003F0802" w:rsidP="00D12235"/>
    <w:p w14:paraId="4E720605" w14:textId="6F48AE82" w:rsidR="003F0802" w:rsidRPr="003F0802" w:rsidRDefault="003F0802" w:rsidP="007D498A">
      <w:pPr>
        <w:pStyle w:val="Caption"/>
        <w:spacing w:after="0"/>
        <w:rPr>
          <w:i w:val="0"/>
          <w:iCs w:val="0"/>
        </w:rPr>
      </w:pPr>
      <w:r w:rsidRPr="003F0802">
        <w:rPr>
          <w:i w:val="0"/>
          <w:iCs w:val="0"/>
        </w:rPr>
        <w:t xml:space="preserve">Table </w:t>
      </w:r>
      <w:r w:rsidRPr="003F0802">
        <w:rPr>
          <w:i w:val="0"/>
          <w:iCs w:val="0"/>
        </w:rPr>
        <w:fldChar w:fldCharType="begin"/>
      </w:r>
      <w:r w:rsidRPr="003F0802">
        <w:rPr>
          <w:i w:val="0"/>
          <w:iCs w:val="0"/>
        </w:rPr>
        <w:instrText xml:space="preserve"> SEQ Table \* ARABIC </w:instrText>
      </w:r>
      <w:r w:rsidRPr="003F0802">
        <w:rPr>
          <w:i w:val="0"/>
          <w:iCs w:val="0"/>
        </w:rPr>
        <w:fldChar w:fldCharType="separate"/>
      </w:r>
      <w:r w:rsidR="00780DCB">
        <w:rPr>
          <w:i w:val="0"/>
          <w:iCs w:val="0"/>
          <w:noProof/>
        </w:rPr>
        <w:t>2</w:t>
      </w:r>
      <w:r w:rsidRPr="003F0802">
        <w:rPr>
          <w:i w:val="0"/>
          <w:iCs w:val="0"/>
        </w:rPr>
        <w:fldChar w:fldCharType="end"/>
      </w:r>
      <w:r w:rsidRPr="003F0802">
        <w:rPr>
          <w:i w:val="0"/>
          <w:iCs w:val="0"/>
        </w:rPr>
        <w:t>: Justification of device characteristics</w:t>
      </w:r>
    </w:p>
    <w:tbl>
      <w:tblPr>
        <w:tblStyle w:val="TableGrid"/>
        <w:tblW w:w="0" w:type="auto"/>
        <w:tblLook w:val="04A0" w:firstRow="1" w:lastRow="0" w:firstColumn="1" w:lastColumn="0" w:noHBand="0" w:noVBand="1"/>
      </w:tblPr>
      <w:tblGrid>
        <w:gridCol w:w="1809"/>
        <w:gridCol w:w="3261"/>
        <w:gridCol w:w="4961"/>
      </w:tblGrid>
      <w:tr w:rsidR="00A94207" w14:paraId="419ADB25" w14:textId="5A2180DE" w:rsidTr="00532192">
        <w:trPr>
          <w:tblHeader/>
        </w:trPr>
        <w:tc>
          <w:tcPr>
            <w:tcW w:w="1809" w:type="dxa"/>
            <w:shd w:val="clear" w:color="auto" w:fill="4F81BD" w:themeFill="accent1"/>
            <w:vAlign w:val="center"/>
          </w:tcPr>
          <w:p w14:paraId="5D480CB3" w14:textId="5761038C" w:rsidR="00A94207" w:rsidRPr="00EA29D1" w:rsidRDefault="00A94207" w:rsidP="00741797">
            <w:pPr>
              <w:jc w:val="left"/>
              <w:rPr>
                <w:b/>
                <w:bCs/>
                <w:color w:val="FFFFFF" w:themeColor="background1"/>
              </w:rPr>
            </w:pPr>
            <w:r w:rsidRPr="00EA29D1">
              <w:rPr>
                <w:b/>
                <w:bCs/>
                <w:color w:val="FFFFFF" w:themeColor="background1"/>
              </w:rPr>
              <w:t>Type of characteristics</w:t>
            </w:r>
          </w:p>
        </w:tc>
        <w:tc>
          <w:tcPr>
            <w:tcW w:w="3261" w:type="dxa"/>
            <w:shd w:val="clear" w:color="auto" w:fill="4F81BD" w:themeFill="accent1"/>
            <w:vAlign w:val="center"/>
          </w:tcPr>
          <w:p w14:paraId="301C1D40" w14:textId="1D01F85B" w:rsidR="00A94207" w:rsidRPr="00EA29D1" w:rsidRDefault="00A94207" w:rsidP="00741797">
            <w:pPr>
              <w:jc w:val="left"/>
              <w:rPr>
                <w:b/>
                <w:bCs/>
                <w:color w:val="FFFFFF" w:themeColor="background1"/>
              </w:rPr>
            </w:pPr>
            <w:r w:rsidRPr="00EA29D1">
              <w:rPr>
                <w:b/>
                <w:bCs/>
                <w:color w:val="FFFFFF" w:themeColor="background1"/>
              </w:rPr>
              <w:t>Description of characteristi</w:t>
            </w:r>
            <w:r w:rsidR="00EA29D1" w:rsidRPr="00EA29D1">
              <w:rPr>
                <w:b/>
                <w:bCs/>
                <w:color w:val="FFFFFF" w:themeColor="background1"/>
              </w:rPr>
              <w:t>cs</w:t>
            </w:r>
          </w:p>
        </w:tc>
        <w:tc>
          <w:tcPr>
            <w:tcW w:w="4961" w:type="dxa"/>
            <w:shd w:val="clear" w:color="auto" w:fill="4F81BD" w:themeFill="accent1"/>
            <w:vAlign w:val="center"/>
          </w:tcPr>
          <w:p w14:paraId="5259B664" w14:textId="4882A6CE" w:rsidR="00A94207" w:rsidRPr="00EA29D1" w:rsidRDefault="00EA29D1" w:rsidP="00741797">
            <w:pPr>
              <w:jc w:val="left"/>
              <w:rPr>
                <w:b/>
                <w:bCs/>
                <w:color w:val="FFFFFF" w:themeColor="background1"/>
              </w:rPr>
            </w:pPr>
            <w:r w:rsidRPr="00EA29D1">
              <w:rPr>
                <w:b/>
                <w:bCs/>
                <w:color w:val="FFFFFF" w:themeColor="background1"/>
              </w:rPr>
              <w:t>Justifications</w:t>
            </w:r>
          </w:p>
        </w:tc>
      </w:tr>
      <w:tr w:rsidR="00A94207" w14:paraId="146DB24F" w14:textId="0EDDECBA" w:rsidTr="00532192">
        <w:tc>
          <w:tcPr>
            <w:tcW w:w="1809" w:type="dxa"/>
          </w:tcPr>
          <w:p w14:paraId="6CD5EB70" w14:textId="793B1630" w:rsidR="00A94207" w:rsidRDefault="00391A15" w:rsidP="00D12235">
            <w:r>
              <w:t>Duration of use</w:t>
            </w:r>
          </w:p>
        </w:tc>
        <w:tc>
          <w:tcPr>
            <w:tcW w:w="3261" w:type="dxa"/>
          </w:tcPr>
          <w:p w14:paraId="56971FCF" w14:textId="7EAC2927" w:rsidR="00846B2B" w:rsidRDefault="00846B2B" w:rsidP="00D12235">
            <w:r w:rsidRPr="00846B2B">
              <w:rPr>
                <w:highlight w:val="yellow"/>
              </w:rPr>
              <w:t>Tick the box via “◼”</w:t>
            </w:r>
          </w:p>
          <w:p w14:paraId="39FA89C0" w14:textId="66C474CE" w:rsidR="00A94207" w:rsidRDefault="00846B2B" w:rsidP="00D12235">
            <w:r>
              <w:lastRenderedPageBreak/>
              <w:t>◻</w:t>
            </w:r>
            <w:r w:rsidR="00763A24">
              <w:t xml:space="preserve"> </w:t>
            </w:r>
            <w:r w:rsidR="00391A15">
              <w:t>Transient</w:t>
            </w:r>
          </w:p>
          <w:p w14:paraId="24114C75" w14:textId="400E3AE5" w:rsidR="00391A15" w:rsidRDefault="00741797" w:rsidP="00D12235">
            <w:r>
              <w:t>◻</w:t>
            </w:r>
            <w:r w:rsidR="00763A24">
              <w:t xml:space="preserve"> </w:t>
            </w:r>
            <w:r w:rsidR="00391A15">
              <w:t>Short term</w:t>
            </w:r>
          </w:p>
          <w:p w14:paraId="5BE60898" w14:textId="77777777" w:rsidR="00391A15" w:rsidRDefault="00763A24" w:rsidP="00D12235">
            <w:r>
              <w:t xml:space="preserve">◻ </w:t>
            </w:r>
            <w:r w:rsidR="00391A15">
              <w:t>Long term</w:t>
            </w:r>
          </w:p>
          <w:p w14:paraId="65B60F16" w14:textId="26FBDCD7" w:rsidR="00BD6C67" w:rsidRDefault="00BD6C67" w:rsidP="00D12235">
            <w:r>
              <w:t>◻ Implantable</w:t>
            </w:r>
          </w:p>
        </w:tc>
        <w:tc>
          <w:tcPr>
            <w:tcW w:w="4961" w:type="dxa"/>
          </w:tcPr>
          <w:p w14:paraId="72CF5C75" w14:textId="028747A4" w:rsidR="00A94207" w:rsidRPr="003B26AF" w:rsidRDefault="00A94207" w:rsidP="00D12235"/>
        </w:tc>
      </w:tr>
      <w:tr w:rsidR="00A94207" w14:paraId="30A124B4" w14:textId="0F3E1B01" w:rsidTr="00532192">
        <w:tc>
          <w:tcPr>
            <w:tcW w:w="1809" w:type="dxa"/>
          </w:tcPr>
          <w:p w14:paraId="4F5E4914" w14:textId="1E0F9E87" w:rsidR="00A94207" w:rsidRDefault="00A3766F" w:rsidP="00D12235">
            <w:r>
              <w:t>I</w:t>
            </w:r>
            <w:r w:rsidR="001C4E41">
              <w:t>nvasive device</w:t>
            </w:r>
          </w:p>
        </w:tc>
        <w:tc>
          <w:tcPr>
            <w:tcW w:w="3261" w:type="dxa"/>
          </w:tcPr>
          <w:p w14:paraId="1D9D74FE" w14:textId="00AF44DF" w:rsidR="00176235" w:rsidRDefault="00176235" w:rsidP="00176235">
            <w:r>
              <w:t xml:space="preserve">◻ </w:t>
            </w:r>
            <w:r w:rsidR="00CE198A">
              <w:t>N</w:t>
            </w:r>
            <w:r w:rsidR="004C1002">
              <w:t>on-</w:t>
            </w:r>
            <w:r>
              <w:t>invasive device</w:t>
            </w:r>
          </w:p>
          <w:p w14:paraId="556FDAE8" w14:textId="430CAC9A" w:rsidR="00A94207" w:rsidRDefault="00A3766F" w:rsidP="00D12235">
            <w:r>
              <w:t>◻ Surgically invasive device</w:t>
            </w:r>
          </w:p>
          <w:p w14:paraId="186121D3" w14:textId="7EFA44A5" w:rsidR="00A3766F" w:rsidRDefault="00FF597D" w:rsidP="00D12235">
            <w:r>
              <w:t>◻ Invasive device via body orifice</w:t>
            </w:r>
          </w:p>
          <w:p w14:paraId="6F266FEF" w14:textId="26CC5989" w:rsidR="00FF597D" w:rsidRDefault="00FF597D" w:rsidP="00D12235">
            <w:r>
              <w:t>◻</w:t>
            </w:r>
            <w:r w:rsidR="003B26AF">
              <w:t xml:space="preserve"> Reusable surgical instrument</w:t>
            </w:r>
          </w:p>
        </w:tc>
        <w:tc>
          <w:tcPr>
            <w:tcW w:w="4961" w:type="dxa"/>
          </w:tcPr>
          <w:p w14:paraId="5C9EAC6F" w14:textId="77777777" w:rsidR="00A94207" w:rsidRDefault="00A94207" w:rsidP="00D12235"/>
        </w:tc>
      </w:tr>
      <w:tr w:rsidR="00A94207" w14:paraId="50EC3990" w14:textId="74B28987" w:rsidTr="00532192">
        <w:tc>
          <w:tcPr>
            <w:tcW w:w="1809" w:type="dxa"/>
          </w:tcPr>
          <w:p w14:paraId="3109D10D" w14:textId="2275A2AC" w:rsidR="00A94207" w:rsidRDefault="003B26AF" w:rsidP="00D12235">
            <w:r>
              <w:t>Active device</w:t>
            </w:r>
          </w:p>
        </w:tc>
        <w:tc>
          <w:tcPr>
            <w:tcW w:w="3261" w:type="dxa"/>
          </w:tcPr>
          <w:p w14:paraId="1852F2E4" w14:textId="42D8EE41" w:rsidR="00CE198A" w:rsidRPr="00CE198A" w:rsidRDefault="00CE198A" w:rsidP="00CE198A">
            <w:pPr>
              <w:rPr>
                <w:lang w:val="fr-FR"/>
              </w:rPr>
            </w:pPr>
            <w:r w:rsidRPr="00CE198A">
              <w:rPr>
                <w:lang w:val="fr-FR"/>
              </w:rPr>
              <w:t>◻ Non-active device</w:t>
            </w:r>
          </w:p>
          <w:p w14:paraId="0EEE0F3A" w14:textId="5F15CE50" w:rsidR="00646932" w:rsidRPr="00CE198A" w:rsidRDefault="00F438F4" w:rsidP="00D12235">
            <w:pPr>
              <w:rPr>
                <w:lang w:val="fr-FR"/>
              </w:rPr>
            </w:pPr>
            <w:r w:rsidRPr="00CE198A">
              <w:rPr>
                <w:lang w:val="fr-FR"/>
              </w:rPr>
              <w:t xml:space="preserve">◻ </w:t>
            </w:r>
            <w:r w:rsidR="00646932" w:rsidRPr="00CE198A">
              <w:rPr>
                <w:lang w:val="fr-FR"/>
              </w:rPr>
              <w:t>Active device</w:t>
            </w:r>
          </w:p>
          <w:p w14:paraId="50C616E6" w14:textId="1A3EBEB0" w:rsidR="00A94207" w:rsidRPr="002D4A38" w:rsidRDefault="00F438F4" w:rsidP="00D12235">
            <w:pPr>
              <w:rPr>
                <w:lang w:val="fr-FR"/>
              </w:rPr>
            </w:pPr>
            <w:r w:rsidRPr="002D4A38">
              <w:rPr>
                <w:lang w:val="fr-FR"/>
              </w:rPr>
              <w:t xml:space="preserve">◻ </w:t>
            </w:r>
            <w:r w:rsidR="007C0607" w:rsidRPr="002D4A38">
              <w:rPr>
                <w:lang w:val="fr-FR"/>
              </w:rPr>
              <w:t>Active therapeutic device</w:t>
            </w:r>
          </w:p>
          <w:p w14:paraId="4A14909C" w14:textId="77777777" w:rsidR="00646932" w:rsidRDefault="00F438F4" w:rsidP="00D12235">
            <w:r>
              <w:t xml:space="preserve">◻ </w:t>
            </w:r>
            <w:r w:rsidR="00646932" w:rsidRPr="00646932">
              <w:t>Active device intended for diagnosis and monitoring</w:t>
            </w:r>
          </w:p>
          <w:p w14:paraId="60A5BA62" w14:textId="1D28816E" w:rsidR="009F2928" w:rsidRDefault="009F2928" w:rsidP="009F2928">
            <w:r>
              <w:t>◻ Software</w:t>
            </w:r>
          </w:p>
        </w:tc>
        <w:tc>
          <w:tcPr>
            <w:tcW w:w="4961" w:type="dxa"/>
          </w:tcPr>
          <w:p w14:paraId="005308F1" w14:textId="77777777" w:rsidR="00A94207" w:rsidRDefault="00A94207" w:rsidP="00D12235"/>
        </w:tc>
      </w:tr>
      <w:tr w:rsidR="007001BB" w14:paraId="3883C0B9" w14:textId="77777777" w:rsidTr="00532192">
        <w:tc>
          <w:tcPr>
            <w:tcW w:w="1809" w:type="dxa"/>
          </w:tcPr>
          <w:p w14:paraId="5E2C6F3C" w14:textId="6428DE88" w:rsidR="007001BB" w:rsidRDefault="007001BB" w:rsidP="00D12235">
            <w:r>
              <w:t>WET</w:t>
            </w:r>
          </w:p>
        </w:tc>
        <w:tc>
          <w:tcPr>
            <w:tcW w:w="3261" w:type="dxa"/>
          </w:tcPr>
          <w:p w14:paraId="3144B1E4" w14:textId="2230FF09" w:rsidR="007001BB" w:rsidRDefault="007001BB" w:rsidP="00D12235">
            <w:r>
              <w:t xml:space="preserve">◻ </w:t>
            </w:r>
            <w:r w:rsidR="00B13E07">
              <w:t>Yes, the device is part of the list in Article 5</w:t>
            </w:r>
            <w:r w:rsidR="00392F77">
              <w:t>2.4</w:t>
            </w:r>
            <w:r w:rsidR="0086679B">
              <w:t xml:space="preserve"> and</w:t>
            </w:r>
            <w:r w:rsidR="00307F26">
              <w:t xml:space="preserve"> the WET is</w:t>
            </w:r>
            <w:r w:rsidR="0086679B">
              <w:t xml:space="preserve"> </w:t>
            </w:r>
            <w:r w:rsidR="004D1B63">
              <w:t>confirmed by the state of the art</w:t>
            </w:r>
            <w:r w:rsidR="00BE5180">
              <w:t xml:space="preserve"> of similar devices.</w:t>
            </w:r>
          </w:p>
          <w:p w14:paraId="69B437BF" w14:textId="2F82301A" w:rsidR="00B13E07" w:rsidRDefault="00B13E07" w:rsidP="00D12235">
            <w:r>
              <w:t>◻ No</w:t>
            </w:r>
          </w:p>
        </w:tc>
        <w:tc>
          <w:tcPr>
            <w:tcW w:w="4961" w:type="dxa"/>
          </w:tcPr>
          <w:p w14:paraId="0AF822CF" w14:textId="77777777" w:rsidR="007001BB" w:rsidRDefault="00932F12" w:rsidP="00D12235">
            <w:r>
              <w:rPr>
                <w:highlight w:val="yellow"/>
              </w:rPr>
              <w:t>Devices covered by</w:t>
            </w:r>
            <w:r w:rsidRPr="00932F12">
              <w:rPr>
                <w:highlight w:val="yellow"/>
              </w:rPr>
              <w:t xml:space="preserve"> Article 52.4: sutures, staples, dental fillings, dental braces, tooth crowns, screws, wedges, plates, wires, pins, clips and connectors</w:t>
            </w:r>
            <w:r w:rsidR="009C15FF">
              <w:t>.</w:t>
            </w:r>
          </w:p>
          <w:p w14:paraId="00132C0F" w14:textId="0F102782" w:rsidR="00041491" w:rsidRDefault="00AB6229" w:rsidP="00D12235">
            <w:r w:rsidRPr="00D12EAA">
              <w:rPr>
                <w:highlight w:val="yellow"/>
              </w:rPr>
              <w:t>A</w:t>
            </w:r>
            <w:r w:rsidR="00041491" w:rsidRPr="00D12EAA">
              <w:rPr>
                <w:highlight w:val="yellow"/>
              </w:rPr>
              <w:t xml:space="preserve"> comparison with similar devices</w:t>
            </w:r>
            <w:r w:rsidRPr="00D12EAA">
              <w:rPr>
                <w:highlight w:val="yellow"/>
              </w:rPr>
              <w:t xml:space="preserve"> is required</w:t>
            </w:r>
            <w:r w:rsidR="004A64D8" w:rsidRPr="00D12EAA">
              <w:rPr>
                <w:highlight w:val="yellow"/>
              </w:rPr>
              <w:t xml:space="preserve"> </w:t>
            </w:r>
            <w:r w:rsidR="00D12EAA" w:rsidRPr="00D12EAA">
              <w:rPr>
                <w:highlight w:val="yellow"/>
              </w:rPr>
              <w:t>with</w:t>
            </w:r>
            <w:r w:rsidR="004A64D8" w:rsidRPr="00D12EAA">
              <w:rPr>
                <w:highlight w:val="yellow"/>
              </w:rPr>
              <w:t xml:space="preserve"> </w:t>
            </w:r>
            <w:r w:rsidR="00296036" w:rsidRPr="00D12EAA">
              <w:rPr>
                <w:highlight w:val="yellow"/>
              </w:rPr>
              <w:t>consideration of criteria (1</w:t>
            </w:r>
            <w:r w:rsidR="00D12EAA" w:rsidRPr="00D12EAA">
              <w:rPr>
                <w:highlight w:val="yellow"/>
              </w:rPr>
              <w:t xml:space="preserve"> to 3) from MDCG 2020-6</w:t>
            </w:r>
            <w:r w:rsidR="00D12EAA">
              <w:t>.</w:t>
            </w:r>
          </w:p>
          <w:p w14:paraId="41CB8A41" w14:textId="3090D709" w:rsidR="00307F26" w:rsidRDefault="00307F26" w:rsidP="00D12235"/>
        </w:tc>
      </w:tr>
    </w:tbl>
    <w:p w14:paraId="6E42007E" w14:textId="18DE1EE7" w:rsidR="00D12235" w:rsidRPr="00D12235" w:rsidRDefault="00D04099" w:rsidP="00D12235">
      <w:r>
        <w:t xml:space="preserve"> </w:t>
      </w:r>
    </w:p>
    <w:p w14:paraId="59A90106" w14:textId="2E05AA21" w:rsidR="002A104E" w:rsidRDefault="00D12235" w:rsidP="00D12235">
      <w:pPr>
        <w:pStyle w:val="Heading3"/>
      </w:pPr>
      <w:bookmarkStart w:id="32" w:name="_Toc148457104"/>
      <w:r>
        <w:t>Classification</w:t>
      </w:r>
      <w:r w:rsidR="00AA3C1A">
        <w:t xml:space="preserve"> rationale</w:t>
      </w:r>
      <w:bookmarkEnd w:id="32"/>
    </w:p>
    <w:p w14:paraId="4FFD3376" w14:textId="61D73E0A" w:rsidR="007250D8" w:rsidRDefault="007250D8" w:rsidP="007250D8">
      <w:r>
        <w:t xml:space="preserve">The following </w:t>
      </w:r>
      <w:r w:rsidR="005F2CF6">
        <w:t xml:space="preserve">table </w:t>
      </w:r>
      <w:r w:rsidR="000F1CEA">
        <w:t>represents</w:t>
      </w:r>
      <w:r w:rsidR="005F2CF6">
        <w:t xml:space="preserve"> the justification of device classification</w:t>
      </w:r>
      <w:r w:rsidR="00A52A72">
        <w:t xml:space="preserve"> for [</w:t>
      </w:r>
      <w:r w:rsidR="00A52A72" w:rsidRPr="00A52A72">
        <w:rPr>
          <w:color w:val="FF0000"/>
        </w:rPr>
        <w:t>Device short name</w:t>
      </w:r>
      <w:r w:rsidR="00A52A72">
        <w:t>]</w:t>
      </w:r>
      <w:r w:rsidR="000F1CEA">
        <w:t>.</w:t>
      </w:r>
    </w:p>
    <w:p w14:paraId="512FB47A" w14:textId="77777777" w:rsidR="00B32625" w:rsidRDefault="00B32625" w:rsidP="007250D8"/>
    <w:p w14:paraId="4D62CB37" w14:textId="0D6DB6C8" w:rsidR="00B32625" w:rsidRPr="00DA7F22" w:rsidRDefault="00B32625" w:rsidP="007D498A">
      <w:pPr>
        <w:pStyle w:val="Caption"/>
        <w:spacing w:after="0"/>
        <w:rPr>
          <w:i w:val="0"/>
          <w:iCs w:val="0"/>
        </w:rPr>
      </w:pPr>
      <w:r w:rsidRPr="00DA7F22">
        <w:rPr>
          <w:i w:val="0"/>
          <w:iCs w:val="0"/>
        </w:rPr>
        <w:t xml:space="preserve">Table </w:t>
      </w:r>
      <w:r w:rsidRPr="00DA7F22">
        <w:rPr>
          <w:i w:val="0"/>
          <w:iCs w:val="0"/>
        </w:rPr>
        <w:fldChar w:fldCharType="begin"/>
      </w:r>
      <w:r w:rsidRPr="00DA7F22">
        <w:rPr>
          <w:i w:val="0"/>
          <w:iCs w:val="0"/>
        </w:rPr>
        <w:instrText xml:space="preserve"> SEQ Table \* ARABIC </w:instrText>
      </w:r>
      <w:r w:rsidRPr="00DA7F22">
        <w:rPr>
          <w:i w:val="0"/>
          <w:iCs w:val="0"/>
        </w:rPr>
        <w:fldChar w:fldCharType="separate"/>
      </w:r>
      <w:r w:rsidR="00780DCB">
        <w:rPr>
          <w:i w:val="0"/>
          <w:iCs w:val="0"/>
          <w:noProof/>
        </w:rPr>
        <w:t>3</w:t>
      </w:r>
      <w:r w:rsidRPr="00DA7F22">
        <w:rPr>
          <w:i w:val="0"/>
          <w:iCs w:val="0"/>
        </w:rPr>
        <w:fldChar w:fldCharType="end"/>
      </w:r>
      <w:r w:rsidRPr="00DA7F22">
        <w:rPr>
          <w:i w:val="0"/>
          <w:iCs w:val="0"/>
        </w:rPr>
        <w:t>: Classification rationale</w:t>
      </w:r>
    </w:p>
    <w:tbl>
      <w:tblPr>
        <w:tblStyle w:val="TableGrid"/>
        <w:tblW w:w="0" w:type="auto"/>
        <w:tblLook w:val="04A0" w:firstRow="1" w:lastRow="0" w:firstColumn="1" w:lastColumn="0" w:noHBand="0" w:noVBand="1"/>
      </w:tblPr>
      <w:tblGrid>
        <w:gridCol w:w="959"/>
        <w:gridCol w:w="5386"/>
        <w:gridCol w:w="3717"/>
      </w:tblGrid>
      <w:tr w:rsidR="000F1CEA" w14:paraId="453D442D" w14:textId="77777777" w:rsidTr="0053114E">
        <w:trPr>
          <w:tblHeader/>
        </w:trPr>
        <w:tc>
          <w:tcPr>
            <w:tcW w:w="959" w:type="dxa"/>
            <w:shd w:val="clear" w:color="auto" w:fill="4F81BD" w:themeFill="accent1"/>
          </w:tcPr>
          <w:p w14:paraId="495F2640" w14:textId="3D158710" w:rsidR="000F1CEA" w:rsidRPr="0053114E" w:rsidRDefault="00565649" w:rsidP="00AA3C1A">
            <w:pPr>
              <w:rPr>
                <w:b/>
                <w:bCs/>
                <w:color w:val="FFFFFF" w:themeColor="background1"/>
              </w:rPr>
            </w:pPr>
            <w:r w:rsidRPr="0053114E">
              <w:rPr>
                <w:b/>
                <w:bCs/>
                <w:color w:val="FFFFFF" w:themeColor="background1"/>
              </w:rPr>
              <w:t>Rule</w:t>
            </w:r>
          </w:p>
        </w:tc>
        <w:tc>
          <w:tcPr>
            <w:tcW w:w="5386" w:type="dxa"/>
            <w:shd w:val="clear" w:color="auto" w:fill="4F81BD" w:themeFill="accent1"/>
          </w:tcPr>
          <w:p w14:paraId="624B31E6" w14:textId="7C9EE1DB" w:rsidR="000F1CEA" w:rsidRPr="0053114E" w:rsidRDefault="00565649" w:rsidP="00AA3C1A">
            <w:pPr>
              <w:rPr>
                <w:b/>
                <w:bCs/>
                <w:color w:val="FFFFFF" w:themeColor="background1"/>
              </w:rPr>
            </w:pPr>
            <w:r w:rsidRPr="0053114E">
              <w:rPr>
                <w:b/>
                <w:bCs/>
                <w:color w:val="FFFFFF" w:themeColor="background1"/>
              </w:rPr>
              <w:t>Rule description</w:t>
            </w:r>
          </w:p>
        </w:tc>
        <w:tc>
          <w:tcPr>
            <w:tcW w:w="3717" w:type="dxa"/>
            <w:shd w:val="clear" w:color="auto" w:fill="4F81BD" w:themeFill="accent1"/>
          </w:tcPr>
          <w:p w14:paraId="79C63DC9" w14:textId="17EE8010" w:rsidR="000F1CEA" w:rsidRPr="0053114E" w:rsidRDefault="00565649" w:rsidP="00AA3C1A">
            <w:pPr>
              <w:rPr>
                <w:b/>
                <w:bCs/>
                <w:color w:val="FFFFFF" w:themeColor="background1"/>
              </w:rPr>
            </w:pPr>
            <w:r w:rsidRPr="0053114E">
              <w:rPr>
                <w:b/>
                <w:bCs/>
                <w:color w:val="FFFFFF" w:themeColor="background1"/>
              </w:rPr>
              <w:t>Rationale of classification</w:t>
            </w:r>
          </w:p>
        </w:tc>
      </w:tr>
      <w:tr w:rsidR="00C27F01" w14:paraId="6A23A3C3" w14:textId="77777777" w:rsidTr="00DD6F69">
        <w:tc>
          <w:tcPr>
            <w:tcW w:w="10062" w:type="dxa"/>
            <w:gridSpan w:val="3"/>
          </w:tcPr>
          <w:p w14:paraId="50DDDAE7" w14:textId="45788DAD" w:rsidR="00C27F01" w:rsidRPr="003D3F58" w:rsidRDefault="00C27F01" w:rsidP="00565649">
            <w:pPr>
              <w:rPr>
                <w:b/>
                <w:bCs/>
              </w:rPr>
            </w:pPr>
            <w:r w:rsidRPr="003D3F58">
              <w:rPr>
                <w:b/>
                <w:bCs/>
              </w:rPr>
              <w:t>Non-invasive device</w:t>
            </w:r>
            <w:r w:rsidR="003D3F58" w:rsidRPr="003D3F58">
              <w:rPr>
                <w:b/>
                <w:bCs/>
              </w:rPr>
              <w:t>s</w:t>
            </w:r>
          </w:p>
        </w:tc>
      </w:tr>
      <w:tr w:rsidR="00C27F01" w14:paraId="388A071F" w14:textId="77777777" w:rsidTr="00565649">
        <w:tc>
          <w:tcPr>
            <w:tcW w:w="959" w:type="dxa"/>
          </w:tcPr>
          <w:p w14:paraId="1170F6A8" w14:textId="33F20492" w:rsidR="00C27F01" w:rsidRDefault="00C27F01" w:rsidP="00C27F01">
            <w:r>
              <w:t>Rule 1</w:t>
            </w:r>
          </w:p>
        </w:tc>
        <w:tc>
          <w:tcPr>
            <w:tcW w:w="5386" w:type="dxa"/>
          </w:tcPr>
          <w:p w14:paraId="35B34AB9" w14:textId="3806F1BC" w:rsidR="00C27F01" w:rsidRDefault="00C27F01" w:rsidP="00C27F01">
            <w:r w:rsidRPr="00C27F01">
              <w:t>All non-invasive devices are classified as class I, unless one of the rules set out hereinafter applies.</w:t>
            </w:r>
          </w:p>
        </w:tc>
        <w:tc>
          <w:tcPr>
            <w:tcW w:w="3717" w:type="dxa"/>
          </w:tcPr>
          <w:p w14:paraId="3A465DD2" w14:textId="77777777" w:rsidR="00C27F01" w:rsidRDefault="00C27F01" w:rsidP="00C27F01"/>
        </w:tc>
      </w:tr>
      <w:tr w:rsidR="00C27F01" w14:paraId="686A1682" w14:textId="77777777" w:rsidTr="00565649">
        <w:tc>
          <w:tcPr>
            <w:tcW w:w="959" w:type="dxa"/>
          </w:tcPr>
          <w:p w14:paraId="5A6D4B70" w14:textId="400E151B" w:rsidR="00C27F01" w:rsidRDefault="00C27F01" w:rsidP="00C27F01">
            <w:r>
              <w:t>Rule 2</w:t>
            </w:r>
          </w:p>
        </w:tc>
        <w:tc>
          <w:tcPr>
            <w:tcW w:w="5386" w:type="dxa"/>
          </w:tcPr>
          <w:p w14:paraId="5E16E5D8" w14:textId="77777777" w:rsidR="003D3F58" w:rsidRDefault="003D3F58" w:rsidP="00C27F01">
            <w:r w:rsidRPr="003D3F58">
              <w:t xml:space="preserve">All non-invasive devices intended for channelling or storing blood, body liquids, cells or tissues, liquids or gases for the purpose of eventual infusion, administration or introduction into the body are classified as class IIa: </w:t>
            </w:r>
          </w:p>
          <w:p w14:paraId="53EF0137" w14:textId="77777777" w:rsidR="003D3F58" w:rsidRDefault="003D3F58" w:rsidP="00C27F01">
            <w:r w:rsidRPr="003D3F58">
              <w:t xml:space="preserve">—  if they may be connected to a class IIa, class IIb or class III active device; or </w:t>
            </w:r>
          </w:p>
          <w:p w14:paraId="2C037534" w14:textId="77777777" w:rsidR="003D3F58" w:rsidRDefault="003D3F58" w:rsidP="00C27F01">
            <w:r w:rsidRPr="003D3F58">
              <w:t xml:space="preserve">—  if they are intended for use for channelling or storing blood or other body liquids or for storing organs, parts of organs or body cells and tissues, except for blood bags; blood bags are classified as class IIb. </w:t>
            </w:r>
          </w:p>
          <w:p w14:paraId="3A5A7EE6" w14:textId="77777777" w:rsidR="00FD1714" w:rsidRDefault="00FD1714" w:rsidP="00C27F01"/>
          <w:p w14:paraId="2DF3E067" w14:textId="130E70A0" w:rsidR="00C27F01" w:rsidRDefault="003D3F58" w:rsidP="00C27F01">
            <w:r w:rsidRPr="003D3F58">
              <w:t>In all other cases, such devices are classified as class I.</w:t>
            </w:r>
          </w:p>
        </w:tc>
        <w:tc>
          <w:tcPr>
            <w:tcW w:w="3717" w:type="dxa"/>
          </w:tcPr>
          <w:p w14:paraId="7FF4ABA7" w14:textId="77777777" w:rsidR="00C27F01" w:rsidRDefault="00C27F01" w:rsidP="00C27F01"/>
        </w:tc>
      </w:tr>
      <w:tr w:rsidR="00C27F01" w14:paraId="5F661C97" w14:textId="77777777" w:rsidTr="00565649">
        <w:tc>
          <w:tcPr>
            <w:tcW w:w="959" w:type="dxa"/>
          </w:tcPr>
          <w:p w14:paraId="48EE6858" w14:textId="29ADE4B2" w:rsidR="00C27F01" w:rsidRDefault="00C27F01" w:rsidP="00C27F01">
            <w:r>
              <w:t>Rule 3</w:t>
            </w:r>
          </w:p>
        </w:tc>
        <w:tc>
          <w:tcPr>
            <w:tcW w:w="5386" w:type="dxa"/>
          </w:tcPr>
          <w:p w14:paraId="386059BC" w14:textId="77777777" w:rsidR="00FD1714" w:rsidRDefault="00FD1714" w:rsidP="00C27F01">
            <w:r w:rsidRPr="00FD1714">
              <w:t xml:space="preserve">All non-invasive devices intended for modifying the biological or chemical composition of human tissues or cells, blood, other body liquids or other liquids intended for implantation or administration into the </w:t>
            </w:r>
            <w:r w:rsidRPr="00FD1714">
              <w:lastRenderedPageBreak/>
              <w:t xml:space="preserve">body are classified as class IIb, unless the treatment for which the device is used consists of filtration, centrifugation or exchanges of gas, heat, in which case they are classified as class IIa. </w:t>
            </w:r>
          </w:p>
          <w:p w14:paraId="5AA5B17E" w14:textId="77777777" w:rsidR="00FD1714" w:rsidRDefault="00FD1714" w:rsidP="00C27F01"/>
          <w:p w14:paraId="7D25E01E" w14:textId="635F50A5" w:rsidR="00C27F01" w:rsidRDefault="00FD1714" w:rsidP="00C27F01">
            <w:r w:rsidRPr="00FD1714">
              <w:t>All non-invasive devices consisting of a substance or a mixture of substances intended to be used in vitro in direct contact with human cells, tissues or organs taken from the human body or used in vitro with human embryos before their implantation or administration into the body are classified as class III.</w:t>
            </w:r>
          </w:p>
        </w:tc>
        <w:tc>
          <w:tcPr>
            <w:tcW w:w="3717" w:type="dxa"/>
          </w:tcPr>
          <w:p w14:paraId="3113CB2C" w14:textId="77777777" w:rsidR="00C27F01" w:rsidRDefault="00C27F01" w:rsidP="00C27F01"/>
        </w:tc>
      </w:tr>
      <w:tr w:rsidR="00C27F01" w14:paraId="6EA6CA46" w14:textId="77777777" w:rsidTr="00565649">
        <w:tc>
          <w:tcPr>
            <w:tcW w:w="959" w:type="dxa"/>
          </w:tcPr>
          <w:p w14:paraId="6B63C33D" w14:textId="0F2B581C" w:rsidR="00C27F01" w:rsidRDefault="00C27F01" w:rsidP="00C27F01">
            <w:r>
              <w:t>Rule 4</w:t>
            </w:r>
          </w:p>
        </w:tc>
        <w:tc>
          <w:tcPr>
            <w:tcW w:w="5386" w:type="dxa"/>
          </w:tcPr>
          <w:p w14:paraId="5CF855C8" w14:textId="77777777" w:rsidR="00444557" w:rsidRDefault="00444557" w:rsidP="00C27F01">
            <w:r w:rsidRPr="00444557">
              <w:t xml:space="preserve">All non-invasive devices which come into contact with injured skin or mucous membrane are classified as: </w:t>
            </w:r>
          </w:p>
          <w:p w14:paraId="1639B971" w14:textId="77777777" w:rsidR="00444557" w:rsidRDefault="00444557" w:rsidP="00C27F01">
            <w:r w:rsidRPr="00444557">
              <w:t xml:space="preserve">—  class I if they are intended to be used as a mechanical barrier, for compression or for absorption of exudates; </w:t>
            </w:r>
          </w:p>
          <w:p w14:paraId="48FD6D72" w14:textId="3DFFB7C4" w:rsidR="00C27F01" w:rsidRDefault="00444557" w:rsidP="00C27F01">
            <w:r w:rsidRPr="00444557">
              <w:t>—  class IIb if they are intended to be used principally for injuries to skin which have breached the dermis or mucous membrane and can only heal by secondary intent;</w:t>
            </w:r>
          </w:p>
          <w:p w14:paraId="7211D0A3" w14:textId="77777777" w:rsidR="00444557" w:rsidRDefault="00444557" w:rsidP="00C27F01">
            <w:r w:rsidRPr="00444557">
              <w:t xml:space="preserve">—  class IIa if they are principally intended to manage the micro-environment of injured skin or mucous membrane; and </w:t>
            </w:r>
          </w:p>
          <w:p w14:paraId="68FD4B3E" w14:textId="77777777" w:rsidR="00444557" w:rsidRDefault="00444557" w:rsidP="00C27F01">
            <w:r w:rsidRPr="00444557">
              <w:t xml:space="preserve">—  class IIa in all other cases. </w:t>
            </w:r>
          </w:p>
          <w:p w14:paraId="254B9871" w14:textId="77777777" w:rsidR="00444557" w:rsidRDefault="00444557" w:rsidP="00C27F01"/>
          <w:p w14:paraId="6D45FB0F" w14:textId="583C8873" w:rsidR="00444557" w:rsidRDefault="00444557" w:rsidP="00C27F01">
            <w:r w:rsidRPr="00444557">
              <w:t>This rule applies also to the invasive devices that come into contact with injured mucous membrane.</w:t>
            </w:r>
          </w:p>
        </w:tc>
        <w:tc>
          <w:tcPr>
            <w:tcW w:w="3717" w:type="dxa"/>
          </w:tcPr>
          <w:p w14:paraId="30BD710D" w14:textId="77777777" w:rsidR="00C27F01" w:rsidRDefault="00C27F01" w:rsidP="00C27F01"/>
        </w:tc>
      </w:tr>
      <w:tr w:rsidR="00B71AC3" w14:paraId="6E13D91F" w14:textId="77777777" w:rsidTr="00525BA4">
        <w:tc>
          <w:tcPr>
            <w:tcW w:w="10062" w:type="dxa"/>
            <w:gridSpan w:val="3"/>
          </w:tcPr>
          <w:p w14:paraId="6589AF38" w14:textId="0CB85686" w:rsidR="00B71AC3" w:rsidRPr="00B71AC3" w:rsidRDefault="00B71AC3" w:rsidP="00C27F01">
            <w:pPr>
              <w:rPr>
                <w:b/>
                <w:bCs/>
              </w:rPr>
            </w:pPr>
            <w:r w:rsidRPr="00B71AC3">
              <w:rPr>
                <w:b/>
                <w:bCs/>
              </w:rPr>
              <w:t>Invasive devices</w:t>
            </w:r>
          </w:p>
        </w:tc>
      </w:tr>
      <w:tr w:rsidR="00C27F01" w14:paraId="267611C5" w14:textId="77777777" w:rsidTr="00565649">
        <w:tc>
          <w:tcPr>
            <w:tcW w:w="959" w:type="dxa"/>
          </w:tcPr>
          <w:p w14:paraId="0FAAD55F" w14:textId="0CDFDCAD" w:rsidR="00C27F01" w:rsidRDefault="00C27F01" w:rsidP="00C27F01">
            <w:r>
              <w:t>Rule 5</w:t>
            </w:r>
          </w:p>
        </w:tc>
        <w:tc>
          <w:tcPr>
            <w:tcW w:w="5386" w:type="dxa"/>
          </w:tcPr>
          <w:p w14:paraId="029284FE" w14:textId="77777777" w:rsidR="00A55851" w:rsidRDefault="00A55851" w:rsidP="00C27F01">
            <w:r w:rsidRPr="00A55851">
              <w:t xml:space="preserve">All invasive devices with respect to body orifices, other than surgically invasive devices, which are not intended for connection to an active device or which are intended for connection to a class I active device are classified as: </w:t>
            </w:r>
          </w:p>
          <w:p w14:paraId="30F8FEB6" w14:textId="77777777" w:rsidR="00A55851" w:rsidRDefault="00A55851" w:rsidP="00C27F01">
            <w:r w:rsidRPr="00A55851">
              <w:t xml:space="preserve">—  class I if they are intended for transient use; </w:t>
            </w:r>
          </w:p>
          <w:p w14:paraId="35338763" w14:textId="77777777" w:rsidR="00A55851" w:rsidRDefault="00A55851" w:rsidP="00C27F01">
            <w:r w:rsidRPr="00A55851">
              <w:t xml:space="preserve">—  class IIa if they are intended for short-term use, except if they are used in the oral cavity as far as the pharynx, in an ear canal up to the ear drum or in the nasal cavity, in which case they are classified as class I; and </w:t>
            </w:r>
          </w:p>
          <w:p w14:paraId="15BC6BE5" w14:textId="77777777" w:rsidR="00A55851" w:rsidRDefault="00A55851" w:rsidP="00C27F01">
            <w:r w:rsidRPr="00A55851">
              <w:t xml:space="preserve">—  class IIb if they are intended for long-term use, except if they are used in the oral cavity as far as the pharynx, in an ear canal up to the ear drum or in the nasal cavity and are not liable to be absorbed by the mucous membrane, in which case they are classified as class IIa. </w:t>
            </w:r>
          </w:p>
          <w:p w14:paraId="78D890BC" w14:textId="77777777" w:rsidR="00A55851" w:rsidRDefault="00A55851" w:rsidP="00C27F01"/>
          <w:p w14:paraId="27C84D65" w14:textId="7883F19A" w:rsidR="00C27F01" w:rsidRDefault="00A55851" w:rsidP="00C27F01">
            <w:r w:rsidRPr="00A55851">
              <w:t>All invasive devices with respect to body orifices, other than surgically invasive devices, intended for connection to a class IIa, class IIb or class III active device, are classified as class IIa.</w:t>
            </w:r>
          </w:p>
        </w:tc>
        <w:tc>
          <w:tcPr>
            <w:tcW w:w="3717" w:type="dxa"/>
          </w:tcPr>
          <w:p w14:paraId="4A4DD1CA" w14:textId="77777777" w:rsidR="00C27F01" w:rsidRDefault="00C27F01" w:rsidP="00C27F01"/>
        </w:tc>
      </w:tr>
      <w:tr w:rsidR="00C27F01" w14:paraId="6BBD7989" w14:textId="77777777" w:rsidTr="00565649">
        <w:tc>
          <w:tcPr>
            <w:tcW w:w="959" w:type="dxa"/>
          </w:tcPr>
          <w:p w14:paraId="1A946ED0" w14:textId="03219CA9" w:rsidR="00C27F01" w:rsidRDefault="00C27F01" w:rsidP="00C27F01">
            <w:r>
              <w:t>Rule 6</w:t>
            </w:r>
          </w:p>
        </w:tc>
        <w:tc>
          <w:tcPr>
            <w:tcW w:w="5386" w:type="dxa"/>
          </w:tcPr>
          <w:p w14:paraId="47780921" w14:textId="77777777" w:rsidR="003E7D87" w:rsidRDefault="003E7D87" w:rsidP="00C27F01">
            <w:r w:rsidRPr="003E7D87">
              <w:t xml:space="preserve">All surgically invasive devices intended for transient use are classified as class IIa unless they: </w:t>
            </w:r>
          </w:p>
          <w:p w14:paraId="0A3BA913" w14:textId="77777777" w:rsidR="003E7D87" w:rsidRDefault="003E7D87" w:rsidP="00C27F01">
            <w:r w:rsidRPr="003E7D87">
              <w:lastRenderedPageBreak/>
              <w:t xml:space="preserve">—  are intended specifically to control, diagnose, monitor or correct a defect of the heart or of the central circulatory system through direct contact with those parts of the body, in which case they are classified as class III; </w:t>
            </w:r>
          </w:p>
          <w:p w14:paraId="6C61EE2C" w14:textId="77777777" w:rsidR="003E7D87" w:rsidRDefault="003E7D87" w:rsidP="00C27F01">
            <w:r w:rsidRPr="003E7D87">
              <w:t xml:space="preserve">—  are reusable surgical instruments, in which case they are classified as class I; </w:t>
            </w:r>
          </w:p>
          <w:p w14:paraId="4F2012D8" w14:textId="77777777" w:rsidR="003E7D87" w:rsidRDefault="003E7D87" w:rsidP="00C27F01">
            <w:r w:rsidRPr="003E7D87">
              <w:t xml:space="preserve">—  are intended specifically for use in direct contact with the heart or central circulatory system or the central nervous system, in which case they are classified as class III; </w:t>
            </w:r>
          </w:p>
          <w:p w14:paraId="6E67AA2F" w14:textId="77777777" w:rsidR="003E7D87" w:rsidRDefault="003E7D87" w:rsidP="00C27F01">
            <w:r w:rsidRPr="003E7D87">
              <w:t xml:space="preserve">—  are intended to supply energy in the form of ionising radiation in which case they are classified as class IIb; </w:t>
            </w:r>
          </w:p>
          <w:p w14:paraId="7855550F" w14:textId="77777777" w:rsidR="003E7D87" w:rsidRDefault="003E7D87" w:rsidP="00C27F01">
            <w:r w:rsidRPr="003E7D87">
              <w:t xml:space="preserve">—  have a biological effect or are wholly or mainly absorbed in which case they are classified as class IIb; or </w:t>
            </w:r>
          </w:p>
          <w:p w14:paraId="4B6BD689" w14:textId="19F8C975" w:rsidR="00C27F01" w:rsidRDefault="003E7D87" w:rsidP="00C27F01">
            <w:r w:rsidRPr="003E7D87">
              <w:t>—  are intended to administer medicinal products by means of a delivery system, if such administration of a medicinal product is done in a manner that is potentially hazardous taking account of the mode of application, in which case they are classified as class IIb.</w:t>
            </w:r>
          </w:p>
        </w:tc>
        <w:tc>
          <w:tcPr>
            <w:tcW w:w="3717" w:type="dxa"/>
          </w:tcPr>
          <w:p w14:paraId="03122FB9" w14:textId="77777777" w:rsidR="00C27F01" w:rsidRDefault="00C27F01" w:rsidP="00C27F01"/>
        </w:tc>
      </w:tr>
      <w:tr w:rsidR="00C27F01" w14:paraId="16FB5FA3" w14:textId="77777777" w:rsidTr="00565649">
        <w:tc>
          <w:tcPr>
            <w:tcW w:w="959" w:type="dxa"/>
          </w:tcPr>
          <w:p w14:paraId="5EEC78DA" w14:textId="3B83C1A2" w:rsidR="00C27F01" w:rsidRDefault="00C27F01" w:rsidP="00C27F01">
            <w:r>
              <w:t>Rule 7</w:t>
            </w:r>
          </w:p>
        </w:tc>
        <w:tc>
          <w:tcPr>
            <w:tcW w:w="5386" w:type="dxa"/>
          </w:tcPr>
          <w:p w14:paraId="3582ACF6" w14:textId="77777777" w:rsidR="00D549A1" w:rsidRDefault="00D549A1" w:rsidP="00C27F01">
            <w:r w:rsidRPr="00D549A1">
              <w:t xml:space="preserve">All surgically invasive devices intended for short-term use are classified as class IIa unless they: </w:t>
            </w:r>
          </w:p>
          <w:p w14:paraId="2C1A3E7D" w14:textId="77777777" w:rsidR="00D549A1" w:rsidRDefault="00D549A1" w:rsidP="00C27F01">
            <w:r w:rsidRPr="00D549A1">
              <w:t xml:space="preserve">—  are intended specifically to control, diagnose, monitor or correct a defect of the heart or of the central circulatory system through direct contact with those parts of the body, in which case they are classified as class III; </w:t>
            </w:r>
          </w:p>
          <w:p w14:paraId="6875B344" w14:textId="77777777" w:rsidR="00D549A1" w:rsidRDefault="00D549A1" w:rsidP="00C27F01">
            <w:r w:rsidRPr="00D549A1">
              <w:t xml:space="preserve">—  are intended specifically for use in direct contact with the heart or central circulatory system or the central nervous system, in which case they are classified as class III; </w:t>
            </w:r>
          </w:p>
          <w:p w14:paraId="553F0B26" w14:textId="77777777" w:rsidR="00D549A1" w:rsidRDefault="00D549A1" w:rsidP="00C27F01">
            <w:r w:rsidRPr="00D549A1">
              <w:t xml:space="preserve">—  are intended to supply energy in the form of ionizing radiation in which case they are classified as class IIb; </w:t>
            </w:r>
          </w:p>
          <w:p w14:paraId="620597E2" w14:textId="77777777" w:rsidR="00D549A1" w:rsidRDefault="00D549A1" w:rsidP="00C27F01">
            <w:r w:rsidRPr="00D549A1">
              <w:t xml:space="preserve">—  have a biological effect or are wholly or mainly absorbed in which case they are classified as class III; </w:t>
            </w:r>
          </w:p>
          <w:p w14:paraId="2FA13AA1" w14:textId="77777777" w:rsidR="00D549A1" w:rsidRDefault="00D549A1" w:rsidP="00C27F01">
            <w:r w:rsidRPr="00D549A1">
              <w:t xml:space="preserve">—  are intended to undergo chemical change in the body in which case they are classified as class IIb, except if the devices are placed in the teeth; or </w:t>
            </w:r>
          </w:p>
          <w:p w14:paraId="30E52C52" w14:textId="0BA0B736" w:rsidR="00C27F01" w:rsidRDefault="00D549A1" w:rsidP="00C27F01">
            <w:r w:rsidRPr="00D549A1">
              <w:t>—  are intended to administer medicines, in which case they are classified as class IIb.</w:t>
            </w:r>
          </w:p>
        </w:tc>
        <w:tc>
          <w:tcPr>
            <w:tcW w:w="3717" w:type="dxa"/>
          </w:tcPr>
          <w:p w14:paraId="62E2198F" w14:textId="77777777" w:rsidR="00C27F01" w:rsidRDefault="00C27F01" w:rsidP="00C27F01"/>
        </w:tc>
      </w:tr>
      <w:tr w:rsidR="00C27F01" w14:paraId="46BE8463" w14:textId="77777777" w:rsidTr="00565649">
        <w:tc>
          <w:tcPr>
            <w:tcW w:w="959" w:type="dxa"/>
          </w:tcPr>
          <w:p w14:paraId="73AFFAEC" w14:textId="48A82D35" w:rsidR="00C27F01" w:rsidRDefault="00C27F01" w:rsidP="00C27F01">
            <w:r>
              <w:t>Rule 8</w:t>
            </w:r>
          </w:p>
        </w:tc>
        <w:tc>
          <w:tcPr>
            <w:tcW w:w="5386" w:type="dxa"/>
          </w:tcPr>
          <w:p w14:paraId="3FE7618A" w14:textId="77777777" w:rsidR="00702903" w:rsidRDefault="00702903" w:rsidP="00C27F01">
            <w:r w:rsidRPr="00702903">
              <w:t xml:space="preserve">All implantable devices and long-term surgically invasive devices are classified as class IIb unless they: </w:t>
            </w:r>
          </w:p>
          <w:p w14:paraId="50CBDDF2" w14:textId="77777777" w:rsidR="00702903" w:rsidRDefault="00702903" w:rsidP="00C27F01">
            <w:r w:rsidRPr="00702903">
              <w:t xml:space="preserve">—  are intended to be placed in the teeth, in which case they are classified as class IIa; </w:t>
            </w:r>
          </w:p>
          <w:p w14:paraId="1AF63262" w14:textId="77777777" w:rsidR="00702903" w:rsidRDefault="00702903" w:rsidP="00C27F01">
            <w:r w:rsidRPr="00702903">
              <w:t xml:space="preserve">—  are intended to be used in direct contact with the heart, the central circulatory system or the central nervous system, in which case they are classified as class III; </w:t>
            </w:r>
          </w:p>
          <w:p w14:paraId="439B0B07" w14:textId="77777777" w:rsidR="00702903" w:rsidRDefault="00702903" w:rsidP="00C27F01">
            <w:r w:rsidRPr="00702903">
              <w:lastRenderedPageBreak/>
              <w:t xml:space="preserve">—  have a biological effect or are wholly or mainly absorbed, in which case they are classified as class III; </w:t>
            </w:r>
          </w:p>
          <w:p w14:paraId="41F85D53" w14:textId="77777777" w:rsidR="00702903" w:rsidRDefault="00702903" w:rsidP="00C27F01">
            <w:r w:rsidRPr="00702903">
              <w:t xml:space="preserve">—  are intended to undergo chemical change in the body in which case they are classified as class III, except if the devices are placed in the teeth; </w:t>
            </w:r>
          </w:p>
          <w:p w14:paraId="3D81075D" w14:textId="77777777" w:rsidR="00702903" w:rsidRDefault="00702903" w:rsidP="00C27F01">
            <w:r w:rsidRPr="00702903">
              <w:t xml:space="preserve">—  are intended to administer medicinal products, in which case they are classified as class III; </w:t>
            </w:r>
          </w:p>
          <w:p w14:paraId="31D65F51" w14:textId="77777777" w:rsidR="00702903" w:rsidRDefault="00702903" w:rsidP="00C27F01">
            <w:r w:rsidRPr="00702903">
              <w:t xml:space="preserve">—  are active implantable devices or their accessories, in which cases they are classified as class III; </w:t>
            </w:r>
          </w:p>
          <w:p w14:paraId="6E7A4A64" w14:textId="77777777" w:rsidR="00702903" w:rsidRDefault="00702903" w:rsidP="00C27F01">
            <w:r w:rsidRPr="00702903">
              <w:t xml:space="preserve">—  are breast implants or surgical meshes, in which cases they are classified as class III; </w:t>
            </w:r>
          </w:p>
          <w:p w14:paraId="5654706E" w14:textId="77777777" w:rsidR="00702903" w:rsidRDefault="00702903" w:rsidP="00C27F01">
            <w:r w:rsidRPr="00702903">
              <w:t xml:space="preserve">—  are total or partial joint replacements, in which case they are classified as class III, with the exception of ancillary components such as screws, wedges, plates and instruments; or </w:t>
            </w:r>
          </w:p>
          <w:p w14:paraId="413A2E83" w14:textId="6484D10B" w:rsidR="00C27F01" w:rsidRDefault="00702903" w:rsidP="00C27F01">
            <w:r w:rsidRPr="00702903">
              <w:t>—  are spinal disc replacement implants or are implantable devices that come into contact with the spinal column, in which case they are classified as class III with the exception of components such as screws, wedges, plates and instruments.</w:t>
            </w:r>
          </w:p>
        </w:tc>
        <w:tc>
          <w:tcPr>
            <w:tcW w:w="3717" w:type="dxa"/>
          </w:tcPr>
          <w:p w14:paraId="70173E50" w14:textId="77777777" w:rsidR="00C27F01" w:rsidRDefault="00C27F01" w:rsidP="00C27F01"/>
        </w:tc>
      </w:tr>
      <w:tr w:rsidR="00C27F01" w14:paraId="5D331427" w14:textId="77777777" w:rsidTr="00565649">
        <w:tc>
          <w:tcPr>
            <w:tcW w:w="959" w:type="dxa"/>
          </w:tcPr>
          <w:p w14:paraId="15E9B796" w14:textId="76DB346D" w:rsidR="00C27F01" w:rsidRDefault="00C27F01" w:rsidP="00C27F01">
            <w:r>
              <w:t>Rule 9</w:t>
            </w:r>
          </w:p>
        </w:tc>
        <w:tc>
          <w:tcPr>
            <w:tcW w:w="5386" w:type="dxa"/>
          </w:tcPr>
          <w:p w14:paraId="214105AA" w14:textId="77777777" w:rsidR="003575B4" w:rsidRDefault="003575B4" w:rsidP="00C27F01">
            <w:r w:rsidRPr="003575B4">
              <w:t xml:space="preserve">All active therapeutic devices intended to administer or exchange energy are classified as class IIa unless their characteristics are such that they may administer energy to or exchange energy with the human body in a potentially hazardous way, taking account of the nature, the density and site of application of the energy, in which case they are classified as class IIb. </w:t>
            </w:r>
          </w:p>
          <w:p w14:paraId="7EE0C19B" w14:textId="77777777" w:rsidR="003575B4" w:rsidRDefault="003575B4" w:rsidP="00C27F01"/>
          <w:p w14:paraId="6358B43B" w14:textId="77777777" w:rsidR="003575B4" w:rsidRDefault="003575B4" w:rsidP="00C27F01">
            <w:r w:rsidRPr="003575B4">
              <w:t xml:space="preserve">All active devices intended to control or monitor the performance of active therapeutic class IIb devices, or intended directly to influence the performance of such devices are classified as class IIb. </w:t>
            </w:r>
          </w:p>
          <w:p w14:paraId="74D903D0" w14:textId="77777777" w:rsidR="003575B4" w:rsidRDefault="003575B4" w:rsidP="00C27F01"/>
          <w:p w14:paraId="39F3193B" w14:textId="77777777" w:rsidR="003575B4" w:rsidRDefault="003575B4" w:rsidP="00C27F01">
            <w:r w:rsidRPr="003575B4">
              <w:t xml:space="preserve">All active devices intended to emit ionizing radiation for therapeutic purposes, including devices which control or monitor such devices, or which directly influence their performance, are classified as class IIb. </w:t>
            </w:r>
          </w:p>
          <w:p w14:paraId="4A10E2EC" w14:textId="77777777" w:rsidR="003575B4" w:rsidRDefault="003575B4" w:rsidP="00C27F01"/>
          <w:p w14:paraId="4234C55E" w14:textId="3E1BC2E7" w:rsidR="00C27F01" w:rsidRDefault="003575B4" w:rsidP="00C27F01">
            <w:r w:rsidRPr="003575B4">
              <w:t>All active devices that are intended for controlling, monitoring or directly influencing the performance of active implantable devices are classified as class III.</w:t>
            </w:r>
          </w:p>
        </w:tc>
        <w:tc>
          <w:tcPr>
            <w:tcW w:w="3717" w:type="dxa"/>
          </w:tcPr>
          <w:p w14:paraId="7D8472BF" w14:textId="77777777" w:rsidR="00C27F01" w:rsidRDefault="00C27F01" w:rsidP="00C27F01"/>
        </w:tc>
      </w:tr>
      <w:tr w:rsidR="00C27F01" w14:paraId="0CD18302" w14:textId="77777777" w:rsidTr="00565649">
        <w:tc>
          <w:tcPr>
            <w:tcW w:w="959" w:type="dxa"/>
          </w:tcPr>
          <w:p w14:paraId="0B99054C" w14:textId="3F67C7E2" w:rsidR="00C27F01" w:rsidRDefault="00C27F01" w:rsidP="00C27F01">
            <w:r>
              <w:t>Rule 10</w:t>
            </w:r>
          </w:p>
        </w:tc>
        <w:tc>
          <w:tcPr>
            <w:tcW w:w="5386" w:type="dxa"/>
          </w:tcPr>
          <w:p w14:paraId="05BA1BAC" w14:textId="77777777" w:rsidR="00401248" w:rsidRDefault="00401248" w:rsidP="00C27F01">
            <w:r w:rsidRPr="00401248">
              <w:t xml:space="preserve">Active devices intended for diagnosis and monitoring are classified as class IIa: </w:t>
            </w:r>
          </w:p>
          <w:p w14:paraId="36192F18" w14:textId="77777777" w:rsidR="00401248" w:rsidRDefault="00401248" w:rsidP="00C27F01">
            <w:r w:rsidRPr="00401248">
              <w:t xml:space="preserve">—  if they are intended to supply energy which will be absorbed by the human body, except for devices intended to illuminate the patient's body, in the visible spectrum, in which case they are classified as class I; </w:t>
            </w:r>
          </w:p>
          <w:p w14:paraId="035292B2" w14:textId="77777777" w:rsidR="00401248" w:rsidRDefault="00401248" w:rsidP="00C27F01">
            <w:r w:rsidRPr="00401248">
              <w:t xml:space="preserve">—  if they are intended to image in vivo distribution of radiopharmaceuticals; or </w:t>
            </w:r>
          </w:p>
          <w:p w14:paraId="27E4D14F" w14:textId="77777777" w:rsidR="004A70B7" w:rsidRDefault="00401248" w:rsidP="00C27F01">
            <w:r w:rsidRPr="00401248">
              <w:t xml:space="preserve">—  if they are intended to allow direct diagnosis or monitoring of vital physiological processes, unless they are specifically intended for monitoring of vital </w:t>
            </w:r>
            <w:r w:rsidRPr="00401248">
              <w:lastRenderedPageBreak/>
              <w:t xml:space="preserve">physiological parameters and the nature of variations of those parameters is such that it could result in immediate danger to the patient, for instance variations in cardiac performance, respiration, activity of the central nervous system, or they are intended for diagnosis in clinical situations where the patient is in immediate danger, in which cases they are classified as class IIb. </w:t>
            </w:r>
          </w:p>
          <w:p w14:paraId="488B5E37" w14:textId="77777777" w:rsidR="004A70B7" w:rsidRDefault="004A70B7" w:rsidP="00C27F01"/>
          <w:p w14:paraId="086CE205" w14:textId="103E7E99" w:rsidR="00C27F01" w:rsidRDefault="00401248" w:rsidP="00C27F01">
            <w:r w:rsidRPr="00401248">
              <w:t>Active devices intended to emit ionizing radiation and intended for diagnostic or therapeutic radiology, including interventional radiology devices and devices which control or monitor such devices, or which directly influence their performance, are classified as class IIb.</w:t>
            </w:r>
          </w:p>
        </w:tc>
        <w:tc>
          <w:tcPr>
            <w:tcW w:w="3717" w:type="dxa"/>
          </w:tcPr>
          <w:p w14:paraId="54279023" w14:textId="77777777" w:rsidR="00C27F01" w:rsidRDefault="00C27F01" w:rsidP="00C27F01"/>
        </w:tc>
      </w:tr>
      <w:tr w:rsidR="00C27F01" w14:paraId="24E4C5E3" w14:textId="77777777" w:rsidTr="00565649">
        <w:tc>
          <w:tcPr>
            <w:tcW w:w="959" w:type="dxa"/>
          </w:tcPr>
          <w:p w14:paraId="5C9B939B" w14:textId="48B9D4BB" w:rsidR="00C27F01" w:rsidRDefault="00C27F01" w:rsidP="00C27F01">
            <w:r>
              <w:t>Rule 11</w:t>
            </w:r>
          </w:p>
        </w:tc>
        <w:tc>
          <w:tcPr>
            <w:tcW w:w="5386" w:type="dxa"/>
          </w:tcPr>
          <w:p w14:paraId="2EC530DB" w14:textId="77777777" w:rsidR="009933D6" w:rsidRDefault="009933D6" w:rsidP="00C27F01">
            <w:r w:rsidRPr="009933D6">
              <w:t xml:space="preserve">Software intended to provide information which is used to take decisions with diagnosis or therapeutic purposes is classified as class IIa, except if such decisions have an impact that may cause: </w:t>
            </w:r>
          </w:p>
          <w:p w14:paraId="5B613761" w14:textId="77777777" w:rsidR="009933D6" w:rsidRDefault="009933D6" w:rsidP="00C27F01">
            <w:r w:rsidRPr="009933D6">
              <w:t xml:space="preserve">—  death or an irreversible deterioration of a person's state of health, in which case it is in class III; or </w:t>
            </w:r>
          </w:p>
          <w:p w14:paraId="121CDD05" w14:textId="77777777" w:rsidR="009933D6" w:rsidRDefault="009933D6" w:rsidP="00C27F01">
            <w:r w:rsidRPr="009933D6">
              <w:t xml:space="preserve">—  a serious deterioration of a person's state of health or a surgical intervention, in which case it is classified as class IIb. </w:t>
            </w:r>
          </w:p>
          <w:p w14:paraId="5915F876" w14:textId="77777777" w:rsidR="009933D6" w:rsidRDefault="009933D6" w:rsidP="00C27F01"/>
          <w:p w14:paraId="2F7C54CA" w14:textId="77777777" w:rsidR="009933D6" w:rsidRDefault="009933D6" w:rsidP="00C27F01">
            <w:r w:rsidRPr="009933D6">
              <w:t xml:space="preserve">Software intended to monitor physiological processes is classified as class IIa, except if it is intended for monitoring of vital physiological parameters, where the nature of variations of those parameters is such that it could result in immediate danger to the patient, in which case it is classified as class IIb. </w:t>
            </w:r>
          </w:p>
          <w:p w14:paraId="1DB9A1DE" w14:textId="77777777" w:rsidR="009933D6" w:rsidRDefault="009933D6" w:rsidP="00C27F01"/>
          <w:p w14:paraId="577A7DC5" w14:textId="4FCD9AD4" w:rsidR="00C27F01" w:rsidRDefault="009933D6" w:rsidP="00C27F01">
            <w:r w:rsidRPr="009933D6">
              <w:t>All other software is classified as class I.</w:t>
            </w:r>
          </w:p>
        </w:tc>
        <w:tc>
          <w:tcPr>
            <w:tcW w:w="3717" w:type="dxa"/>
          </w:tcPr>
          <w:p w14:paraId="1137CDF4" w14:textId="77777777" w:rsidR="00C27F01" w:rsidRDefault="00C27F01" w:rsidP="00C27F01"/>
        </w:tc>
      </w:tr>
      <w:tr w:rsidR="00C27F01" w14:paraId="5171F41A" w14:textId="77777777" w:rsidTr="00565649">
        <w:tc>
          <w:tcPr>
            <w:tcW w:w="959" w:type="dxa"/>
          </w:tcPr>
          <w:p w14:paraId="77884A70" w14:textId="04B0B044" w:rsidR="00C27F01" w:rsidRDefault="00C27F01" w:rsidP="00C27F01">
            <w:r>
              <w:t>Rule 12</w:t>
            </w:r>
          </w:p>
        </w:tc>
        <w:tc>
          <w:tcPr>
            <w:tcW w:w="5386" w:type="dxa"/>
          </w:tcPr>
          <w:p w14:paraId="429C94A3" w14:textId="225C546E" w:rsidR="00C27F01" w:rsidRDefault="00237F99" w:rsidP="00C27F01">
            <w:r w:rsidRPr="00237F99">
              <w:t>All active devices intended to administer and/or remove medicinal products, body liquids or other substances to or from the body are classified as class IIa, unless this is done in a manner that is potentially hazardous, taking account of the nature of the substances involved, of the part of the body concerned and of the mode of application in which case they are classified as class IIb.</w:t>
            </w:r>
          </w:p>
        </w:tc>
        <w:tc>
          <w:tcPr>
            <w:tcW w:w="3717" w:type="dxa"/>
          </w:tcPr>
          <w:p w14:paraId="0BFF0510" w14:textId="77777777" w:rsidR="00C27F01" w:rsidRDefault="00C27F01" w:rsidP="00C27F01"/>
        </w:tc>
      </w:tr>
      <w:tr w:rsidR="00C27F01" w14:paraId="38CC13FC" w14:textId="77777777" w:rsidTr="00565649">
        <w:tc>
          <w:tcPr>
            <w:tcW w:w="959" w:type="dxa"/>
          </w:tcPr>
          <w:p w14:paraId="2D8D27B5" w14:textId="47C46772" w:rsidR="00C27F01" w:rsidRDefault="00C27F01" w:rsidP="00C27F01">
            <w:r>
              <w:t>Rule 13</w:t>
            </w:r>
          </w:p>
        </w:tc>
        <w:tc>
          <w:tcPr>
            <w:tcW w:w="5386" w:type="dxa"/>
          </w:tcPr>
          <w:p w14:paraId="1B3928DE" w14:textId="682E484E" w:rsidR="00C27F01" w:rsidRDefault="00237F99" w:rsidP="00C27F01">
            <w:r w:rsidRPr="00237F99">
              <w:t>All other active devices are classified as class I.</w:t>
            </w:r>
          </w:p>
        </w:tc>
        <w:tc>
          <w:tcPr>
            <w:tcW w:w="3717" w:type="dxa"/>
          </w:tcPr>
          <w:p w14:paraId="7AE18584" w14:textId="77777777" w:rsidR="00C27F01" w:rsidRDefault="00C27F01" w:rsidP="00C27F01"/>
        </w:tc>
      </w:tr>
      <w:tr w:rsidR="00237F99" w14:paraId="5DDA51A3" w14:textId="77777777" w:rsidTr="00C179C7">
        <w:tc>
          <w:tcPr>
            <w:tcW w:w="10062" w:type="dxa"/>
            <w:gridSpan w:val="3"/>
          </w:tcPr>
          <w:p w14:paraId="484A1A28" w14:textId="242051EE" w:rsidR="00237F99" w:rsidRPr="00A970E2" w:rsidRDefault="00A970E2" w:rsidP="00C27F01">
            <w:pPr>
              <w:rPr>
                <w:b/>
                <w:bCs/>
              </w:rPr>
            </w:pPr>
            <w:r w:rsidRPr="00A970E2">
              <w:rPr>
                <w:b/>
                <w:bCs/>
              </w:rPr>
              <w:t>Special rules</w:t>
            </w:r>
          </w:p>
        </w:tc>
      </w:tr>
      <w:tr w:rsidR="00C27F01" w14:paraId="5352845F" w14:textId="77777777" w:rsidTr="00565649">
        <w:tc>
          <w:tcPr>
            <w:tcW w:w="959" w:type="dxa"/>
          </w:tcPr>
          <w:p w14:paraId="08278E48" w14:textId="17C1AC06" w:rsidR="00C27F01" w:rsidRDefault="00C27F01" w:rsidP="00C27F01">
            <w:r>
              <w:t>Rule 14</w:t>
            </w:r>
          </w:p>
        </w:tc>
        <w:tc>
          <w:tcPr>
            <w:tcW w:w="5386" w:type="dxa"/>
          </w:tcPr>
          <w:p w14:paraId="708A0A90" w14:textId="55BA5006" w:rsidR="00C27F01" w:rsidRDefault="00397B98" w:rsidP="00C27F01">
            <w:r w:rsidRPr="00397B98">
              <w:t>All devices incorporating, as an integral part, a substance which, if used separately, can be considered to be a medicinal product, as defined in point 2 of Article 1 of Directive 2001/83/EC, including a medicinal product derived from human blood or human plasma, as defined in point 10 of Article 1 of that Directive, and that has an action ancillary to that of the devices, are classified as class III.</w:t>
            </w:r>
          </w:p>
        </w:tc>
        <w:tc>
          <w:tcPr>
            <w:tcW w:w="3717" w:type="dxa"/>
          </w:tcPr>
          <w:p w14:paraId="7AC42F2B" w14:textId="77777777" w:rsidR="00C27F01" w:rsidRDefault="00C27F01" w:rsidP="00C27F01"/>
        </w:tc>
      </w:tr>
      <w:tr w:rsidR="00C27F01" w14:paraId="018AE7F4" w14:textId="77777777" w:rsidTr="00565649">
        <w:tc>
          <w:tcPr>
            <w:tcW w:w="959" w:type="dxa"/>
          </w:tcPr>
          <w:p w14:paraId="1FAD252D" w14:textId="6A4BC60A" w:rsidR="00C27F01" w:rsidRDefault="00C27F01" w:rsidP="00C27F01">
            <w:r>
              <w:t>Rule 15</w:t>
            </w:r>
          </w:p>
        </w:tc>
        <w:tc>
          <w:tcPr>
            <w:tcW w:w="5386" w:type="dxa"/>
          </w:tcPr>
          <w:p w14:paraId="50780211" w14:textId="21DEA458" w:rsidR="00C27F01" w:rsidRDefault="00397B98" w:rsidP="00C27F01">
            <w:r w:rsidRPr="00397B98">
              <w:t xml:space="preserve">All devices used for contraception or prevention of the </w:t>
            </w:r>
            <w:r w:rsidRPr="00397B98">
              <w:lastRenderedPageBreak/>
              <w:t>transmission of sexually transmitted diseases are classified as class IIb, unless they are implantable or long term invasive devices, in which case they are classified as class III.</w:t>
            </w:r>
          </w:p>
        </w:tc>
        <w:tc>
          <w:tcPr>
            <w:tcW w:w="3717" w:type="dxa"/>
          </w:tcPr>
          <w:p w14:paraId="26F43466" w14:textId="77777777" w:rsidR="00C27F01" w:rsidRDefault="00C27F01" w:rsidP="00C27F01"/>
        </w:tc>
      </w:tr>
      <w:tr w:rsidR="00C27F01" w14:paraId="69F76B78" w14:textId="77777777" w:rsidTr="00565649">
        <w:tc>
          <w:tcPr>
            <w:tcW w:w="959" w:type="dxa"/>
          </w:tcPr>
          <w:p w14:paraId="48F12646" w14:textId="32AD6DD1" w:rsidR="00C27F01" w:rsidRDefault="00C27F01" w:rsidP="00C27F01">
            <w:r>
              <w:t>Rule 16</w:t>
            </w:r>
          </w:p>
        </w:tc>
        <w:tc>
          <w:tcPr>
            <w:tcW w:w="5386" w:type="dxa"/>
          </w:tcPr>
          <w:p w14:paraId="0A9C3002" w14:textId="77777777" w:rsidR="00397B98" w:rsidRDefault="00397B98" w:rsidP="00C27F01">
            <w:r w:rsidRPr="00397B98">
              <w:t xml:space="preserve">All devices intended specifically to be used for disinfecting, cleaning, rinsing or, where appropriate, hydrating contact lenses are classified as class IIb. </w:t>
            </w:r>
          </w:p>
          <w:p w14:paraId="4FABBA66" w14:textId="77777777" w:rsidR="00397B98" w:rsidRDefault="00397B98" w:rsidP="00C27F01"/>
          <w:p w14:paraId="406086EC" w14:textId="77777777" w:rsidR="00397B98" w:rsidRDefault="00397B98" w:rsidP="00C27F01">
            <w:r w:rsidRPr="00397B98">
              <w:t xml:space="preserve">All devices intended specifically to be used for disinfecting or sterilising medical devices are classified as class IIa, unless they are disinfecting solutions or washer-disinfectors intended specifically to be used for disinfecting invasive devices, as the end point of processing, in which case they are classified as class IIb. </w:t>
            </w:r>
          </w:p>
          <w:p w14:paraId="69660E27" w14:textId="77777777" w:rsidR="00397B98" w:rsidRDefault="00397B98" w:rsidP="00C27F01"/>
          <w:p w14:paraId="665632D4" w14:textId="5224D0AB" w:rsidR="00C27F01" w:rsidRDefault="00397B98" w:rsidP="00C27F01">
            <w:r w:rsidRPr="00397B98">
              <w:t>This rule does not apply to devices that are intended to clean devices other than contact lenses by means of physical action only.</w:t>
            </w:r>
          </w:p>
        </w:tc>
        <w:tc>
          <w:tcPr>
            <w:tcW w:w="3717" w:type="dxa"/>
          </w:tcPr>
          <w:p w14:paraId="13E8EDCC" w14:textId="77777777" w:rsidR="00C27F01" w:rsidRDefault="00C27F01" w:rsidP="00C27F01"/>
        </w:tc>
      </w:tr>
      <w:tr w:rsidR="00C27F01" w14:paraId="4C2794A0" w14:textId="77777777" w:rsidTr="00565649">
        <w:tc>
          <w:tcPr>
            <w:tcW w:w="959" w:type="dxa"/>
          </w:tcPr>
          <w:p w14:paraId="53E2DBEB" w14:textId="2F5DE353" w:rsidR="00C27F01" w:rsidRDefault="00C27F01" w:rsidP="00C27F01">
            <w:r>
              <w:t>Rule 17</w:t>
            </w:r>
          </w:p>
        </w:tc>
        <w:tc>
          <w:tcPr>
            <w:tcW w:w="5386" w:type="dxa"/>
          </w:tcPr>
          <w:p w14:paraId="411BB3D7" w14:textId="1D9422F7" w:rsidR="00C27F01" w:rsidRDefault="00B96732" w:rsidP="00C27F01">
            <w:r w:rsidRPr="00B96732">
              <w:t>Devices specifically intended for recording of diagnostic images generated by X-ray radiation are classified as class IIa.</w:t>
            </w:r>
          </w:p>
        </w:tc>
        <w:tc>
          <w:tcPr>
            <w:tcW w:w="3717" w:type="dxa"/>
          </w:tcPr>
          <w:p w14:paraId="5ECF2767" w14:textId="77777777" w:rsidR="00C27F01" w:rsidRDefault="00C27F01" w:rsidP="00C27F01"/>
        </w:tc>
      </w:tr>
      <w:tr w:rsidR="00C27F01" w14:paraId="34FC35FD" w14:textId="77777777" w:rsidTr="00565649">
        <w:tc>
          <w:tcPr>
            <w:tcW w:w="959" w:type="dxa"/>
          </w:tcPr>
          <w:p w14:paraId="257DA1C8" w14:textId="10CBF5DD" w:rsidR="00C27F01" w:rsidRDefault="00C27F01" w:rsidP="00C27F01">
            <w:r>
              <w:t>Rule 18</w:t>
            </w:r>
          </w:p>
        </w:tc>
        <w:tc>
          <w:tcPr>
            <w:tcW w:w="5386" w:type="dxa"/>
          </w:tcPr>
          <w:p w14:paraId="5FB43F76" w14:textId="3A824102" w:rsidR="00C27F01" w:rsidRDefault="00B96732" w:rsidP="00C27F01">
            <w:r w:rsidRPr="00B96732">
              <w:t>All devices manufactured utilising tissues or cells of human or animal origin, or their derivatives, which are non- viable or rendered non-viable, are classified as class III, unless such devices are manufactured utilising tissues or cells of animal origin, or their derivatives, which are non-viable or rendered non-viable and are devices intended to come into contact with intact skin only.</w:t>
            </w:r>
          </w:p>
        </w:tc>
        <w:tc>
          <w:tcPr>
            <w:tcW w:w="3717" w:type="dxa"/>
          </w:tcPr>
          <w:p w14:paraId="20F3687D" w14:textId="77777777" w:rsidR="00C27F01" w:rsidRDefault="00C27F01" w:rsidP="00C27F01"/>
        </w:tc>
      </w:tr>
      <w:tr w:rsidR="00C27F01" w14:paraId="22A85A99" w14:textId="77777777" w:rsidTr="00565649">
        <w:tc>
          <w:tcPr>
            <w:tcW w:w="959" w:type="dxa"/>
          </w:tcPr>
          <w:p w14:paraId="4AAFF5B0" w14:textId="59E73155" w:rsidR="00C27F01" w:rsidRDefault="00C27F01" w:rsidP="00C27F01">
            <w:r>
              <w:t>Rule 19</w:t>
            </w:r>
          </w:p>
        </w:tc>
        <w:tc>
          <w:tcPr>
            <w:tcW w:w="5386" w:type="dxa"/>
          </w:tcPr>
          <w:p w14:paraId="296F968C" w14:textId="77777777" w:rsidR="00B96732" w:rsidRDefault="00B96732" w:rsidP="00C27F01">
            <w:r w:rsidRPr="00B96732">
              <w:t xml:space="preserve">All devices incorporating or consisting of nanomaterial are classified as: </w:t>
            </w:r>
          </w:p>
          <w:p w14:paraId="4FB79509" w14:textId="77777777" w:rsidR="00B96732" w:rsidRDefault="00B96732" w:rsidP="00C27F01">
            <w:r w:rsidRPr="00B96732">
              <w:t xml:space="preserve">—  class III if they present a high or medium potential for internal exposure; </w:t>
            </w:r>
          </w:p>
          <w:p w14:paraId="57635729" w14:textId="77777777" w:rsidR="00B96732" w:rsidRDefault="00B96732" w:rsidP="00C27F01">
            <w:r w:rsidRPr="00B96732">
              <w:t xml:space="preserve">—  class IIb if they present a low potential for internal exposure; and </w:t>
            </w:r>
          </w:p>
          <w:p w14:paraId="5B71456A" w14:textId="50DD5DC6" w:rsidR="00C27F01" w:rsidRDefault="00B96732" w:rsidP="00C27F01">
            <w:r w:rsidRPr="00B96732">
              <w:t>—  class IIa if they present a negligible potential for internal exposure.</w:t>
            </w:r>
          </w:p>
        </w:tc>
        <w:tc>
          <w:tcPr>
            <w:tcW w:w="3717" w:type="dxa"/>
          </w:tcPr>
          <w:p w14:paraId="2380E39A" w14:textId="77777777" w:rsidR="00C27F01" w:rsidRDefault="00C27F01" w:rsidP="00C27F01"/>
        </w:tc>
      </w:tr>
      <w:tr w:rsidR="00C27F01" w14:paraId="7C890B9C" w14:textId="77777777" w:rsidTr="00565649">
        <w:tc>
          <w:tcPr>
            <w:tcW w:w="959" w:type="dxa"/>
          </w:tcPr>
          <w:p w14:paraId="2FA85648" w14:textId="18DCA84E" w:rsidR="00C27F01" w:rsidRDefault="00C27F01" w:rsidP="00C27F01">
            <w:r>
              <w:t>Rule 20</w:t>
            </w:r>
          </w:p>
        </w:tc>
        <w:tc>
          <w:tcPr>
            <w:tcW w:w="5386" w:type="dxa"/>
          </w:tcPr>
          <w:p w14:paraId="6802D28F" w14:textId="6F80EFDD" w:rsidR="00C27F01" w:rsidRDefault="00640AFD" w:rsidP="00C27F01">
            <w:r w:rsidRPr="00640AFD">
              <w:t>All invasive devices with respect to body orifices, other than surgically invasive devices, which are intended to administer medicinal products by inhalation are classified as class IIa, unless their mode of action has an essential impact on the efficacy and safety of the administered medicinal product or they are intended to treat life- threatening conditions, in which case they are classified as class IIb.</w:t>
            </w:r>
          </w:p>
        </w:tc>
        <w:tc>
          <w:tcPr>
            <w:tcW w:w="3717" w:type="dxa"/>
          </w:tcPr>
          <w:p w14:paraId="4F549FF3" w14:textId="77777777" w:rsidR="00C27F01" w:rsidRDefault="00C27F01" w:rsidP="00C27F01"/>
        </w:tc>
      </w:tr>
      <w:tr w:rsidR="00C27F01" w14:paraId="1B0F7E1D" w14:textId="77777777" w:rsidTr="00565649">
        <w:tc>
          <w:tcPr>
            <w:tcW w:w="959" w:type="dxa"/>
          </w:tcPr>
          <w:p w14:paraId="308F53D0" w14:textId="5996FE7D" w:rsidR="00C27F01" w:rsidRDefault="00C27F01" w:rsidP="00C27F01">
            <w:r>
              <w:t>Rule 21</w:t>
            </w:r>
          </w:p>
        </w:tc>
        <w:tc>
          <w:tcPr>
            <w:tcW w:w="5386" w:type="dxa"/>
          </w:tcPr>
          <w:p w14:paraId="27946557" w14:textId="77777777" w:rsidR="00640AFD" w:rsidRDefault="00640AFD" w:rsidP="00C27F01">
            <w:r w:rsidRPr="00640AFD">
              <w:t xml:space="preserve">Devices that are composed of substances or of combinations of substances that are intended to be introduced into the human body via a body orifice or applied to the skin and that are absorbed by or locally dispersed in the human body are classified as: </w:t>
            </w:r>
          </w:p>
          <w:p w14:paraId="44D09EAE" w14:textId="77777777" w:rsidR="00640AFD" w:rsidRDefault="00640AFD" w:rsidP="00C27F01">
            <w:r w:rsidRPr="00640AFD">
              <w:t xml:space="preserve">—  class III if they, or their products of metabolism, are </w:t>
            </w:r>
            <w:r w:rsidRPr="00640AFD">
              <w:lastRenderedPageBreak/>
              <w:t xml:space="preserve">systemically absorbed by the human body in order to achieve the intended purpose; </w:t>
            </w:r>
          </w:p>
          <w:p w14:paraId="2BEEA827" w14:textId="77777777" w:rsidR="00640AFD" w:rsidRDefault="00640AFD" w:rsidP="00C27F01">
            <w:r w:rsidRPr="00640AFD">
              <w:t xml:space="preserve">—  class III if they achieve their intended purpose in the stomach or lower gastrointestinal tract and they, or their products of metabolism, are systemically absorbed by the human body; </w:t>
            </w:r>
          </w:p>
          <w:p w14:paraId="3E4F002D" w14:textId="77777777" w:rsidR="00640AFD" w:rsidRDefault="00640AFD" w:rsidP="00C27F01">
            <w:r w:rsidRPr="00640AFD">
              <w:t xml:space="preserve">—  class IIa if they are applied to the skin or if they are applied in the nasal or oral cavity as far as the pharynx, and achieve their intended purpose on those cavities; and </w:t>
            </w:r>
          </w:p>
          <w:p w14:paraId="058F1B06" w14:textId="7DB5B0DD" w:rsidR="00C27F01" w:rsidRDefault="00640AFD" w:rsidP="00C27F01">
            <w:r w:rsidRPr="00640AFD">
              <w:t>—  class IIb in all other cases.</w:t>
            </w:r>
          </w:p>
        </w:tc>
        <w:tc>
          <w:tcPr>
            <w:tcW w:w="3717" w:type="dxa"/>
          </w:tcPr>
          <w:p w14:paraId="5E0C5B18" w14:textId="77777777" w:rsidR="00C27F01" w:rsidRDefault="00C27F01" w:rsidP="00C27F01"/>
        </w:tc>
      </w:tr>
      <w:tr w:rsidR="00640AFD" w14:paraId="6006AE95" w14:textId="77777777" w:rsidTr="00565649">
        <w:tc>
          <w:tcPr>
            <w:tcW w:w="959" w:type="dxa"/>
          </w:tcPr>
          <w:p w14:paraId="1AF06674" w14:textId="17D49558" w:rsidR="00640AFD" w:rsidRDefault="00640AFD" w:rsidP="00C27F01">
            <w:r>
              <w:t>Rule 22</w:t>
            </w:r>
          </w:p>
        </w:tc>
        <w:tc>
          <w:tcPr>
            <w:tcW w:w="5386" w:type="dxa"/>
          </w:tcPr>
          <w:p w14:paraId="1397232B" w14:textId="31C32C02" w:rsidR="00640AFD" w:rsidRDefault="00B84F70" w:rsidP="00C27F01">
            <w:r w:rsidRPr="00B84F70">
              <w:t xml:space="preserve">Active therapeutic devices with an integrated or incorporated diagnostic function which significantly determines the patient management by the device, such as closed loop systems or automated external defibrillators, are classified as class III.  </w:t>
            </w:r>
          </w:p>
        </w:tc>
        <w:tc>
          <w:tcPr>
            <w:tcW w:w="3717" w:type="dxa"/>
          </w:tcPr>
          <w:p w14:paraId="282CF6D9" w14:textId="77777777" w:rsidR="00640AFD" w:rsidRDefault="00640AFD" w:rsidP="00C27F01"/>
        </w:tc>
      </w:tr>
    </w:tbl>
    <w:p w14:paraId="4A772C10" w14:textId="77777777" w:rsidR="000F1CEA" w:rsidRDefault="000F1CEA" w:rsidP="00AA3C1A"/>
    <w:p w14:paraId="78D9AD71" w14:textId="367CDB85" w:rsidR="00CD0FAD" w:rsidRDefault="00AC6510" w:rsidP="00AA3C1A">
      <w:r w:rsidRPr="00AC6510">
        <w:rPr>
          <w:highlight w:val="yellow"/>
        </w:rPr>
        <w:t>To be removed if the device is not class I/</w:t>
      </w:r>
      <w:r>
        <w:t xml:space="preserve"> </w:t>
      </w:r>
      <w:r w:rsidR="00B80376">
        <w:t xml:space="preserve">As the device has been determined to be class I under </w:t>
      </w:r>
      <w:r w:rsidR="004E133D">
        <w:t xml:space="preserve">Annex VIII of the </w:t>
      </w:r>
      <w:r w:rsidR="00B80376">
        <w:t xml:space="preserve">MDR, MDCG 2021-24 been considered to evaluate </w:t>
      </w:r>
      <w:r w:rsidR="00B8413C">
        <w:t>if [</w:t>
      </w:r>
      <w:r w:rsidR="00B8413C" w:rsidRPr="00B8413C">
        <w:rPr>
          <w:color w:val="FF0000"/>
        </w:rPr>
        <w:t>Device short name</w:t>
      </w:r>
      <w:r w:rsidR="00B8413C">
        <w:t>]</w:t>
      </w:r>
      <w:r w:rsidR="004E133D">
        <w:t xml:space="preserve"> is considered a reusable surgical instrument, has a measuring function</w:t>
      </w:r>
      <w:r w:rsidR="007E5884">
        <w:t>, or is sterile.</w:t>
      </w:r>
    </w:p>
    <w:p w14:paraId="67F36ED9" w14:textId="77777777" w:rsidR="00D019A5" w:rsidRDefault="00D019A5" w:rsidP="00AA3C1A"/>
    <w:p w14:paraId="6C4243E7" w14:textId="7B46B13F" w:rsidR="00442F94" w:rsidRDefault="00D019A5" w:rsidP="00442F94">
      <w:r>
        <w:t xml:space="preserve">As </w:t>
      </w:r>
      <w:r w:rsidR="00C50AE4">
        <w:t xml:space="preserve">described </w:t>
      </w:r>
      <w:r w:rsidR="00C50AE4" w:rsidRPr="00C50AE4">
        <w:rPr>
          <w:b/>
          <w:bCs/>
        </w:rPr>
        <w:t xml:space="preserve">section </w:t>
      </w:r>
      <w:r w:rsidR="00C50AE4" w:rsidRPr="00C50AE4">
        <w:rPr>
          <w:b/>
          <w:bCs/>
        </w:rPr>
        <w:fldChar w:fldCharType="begin"/>
      </w:r>
      <w:r w:rsidR="00C50AE4" w:rsidRPr="00C50AE4">
        <w:rPr>
          <w:b/>
          <w:bCs/>
        </w:rPr>
        <w:instrText xml:space="preserve"> REF _Ref148442023 \r \h </w:instrText>
      </w:r>
      <w:r w:rsidR="00C50AE4">
        <w:rPr>
          <w:b/>
          <w:bCs/>
        </w:rPr>
        <w:instrText xml:space="preserve"> \* MERGEFORMAT </w:instrText>
      </w:r>
      <w:r w:rsidR="00C50AE4" w:rsidRPr="00C50AE4">
        <w:rPr>
          <w:b/>
          <w:bCs/>
        </w:rPr>
      </w:r>
      <w:r w:rsidR="00C50AE4" w:rsidRPr="00C50AE4">
        <w:rPr>
          <w:b/>
          <w:bCs/>
        </w:rPr>
        <w:fldChar w:fldCharType="separate"/>
      </w:r>
      <w:r w:rsidR="00C50AE4" w:rsidRPr="00C50AE4">
        <w:rPr>
          <w:b/>
          <w:bCs/>
        </w:rPr>
        <w:t>4.3.1</w:t>
      </w:r>
      <w:r w:rsidR="00C50AE4" w:rsidRPr="00C50AE4">
        <w:rPr>
          <w:b/>
          <w:bCs/>
        </w:rPr>
        <w:fldChar w:fldCharType="end"/>
      </w:r>
      <w:r w:rsidR="00C50AE4">
        <w:t xml:space="preserve">, </w:t>
      </w:r>
      <w:r w:rsidR="00D00AC4">
        <w:t xml:space="preserve">the device </w:t>
      </w:r>
      <w:r w:rsidR="00D00AC4" w:rsidRPr="00D00AC4">
        <w:rPr>
          <w:color w:val="FF0000"/>
        </w:rPr>
        <w:t>meets /does not meet</w:t>
      </w:r>
      <w:r w:rsidR="00D00AC4">
        <w:t xml:space="preserve"> the definition of reusable surgical instrument</w:t>
      </w:r>
      <w:r w:rsidR="00F61F1D">
        <w:t xml:space="preserve">, </w:t>
      </w:r>
      <w:r w:rsidR="007F4139">
        <w:t xml:space="preserve">hence </w:t>
      </w:r>
      <w:r w:rsidR="00F61F1D">
        <w:t>[</w:t>
      </w:r>
      <w:r w:rsidR="00F61F1D" w:rsidRPr="00442F94">
        <w:rPr>
          <w:color w:val="FF0000"/>
        </w:rPr>
        <w:t>device short name</w:t>
      </w:r>
      <w:r w:rsidR="00F61F1D">
        <w:t>] is / is not class I</w:t>
      </w:r>
      <w:r w:rsidR="00442F94">
        <w:t>r. In addition, a</w:t>
      </w:r>
      <w:r w:rsidR="00416A96">
        <w:t xml:space="preserve">s the device </w:t>
      </w:r>
      <w:r w:rsidR="00416A96" w:rsidRPr="00F61F1D">
        <w:rPr>
          <w:color w:val="FF0000"/>
        </w:rPr>
        <w:t>is</w:t>
      </w:r>
      <w:r w:rsidR="00F61F1D" w:rsidRPr="00F61F1D">
        <w:rPr>
          <w:color w:val="FF0000"/>
        </w:rPr>
        <w:t xml:space="preserve"> / is not</w:t>
      </w:r>
      <w:r w:rsidR="00416A96">
        <w:t xml:space="preserve"> marketed </w:t>
      </w:r>
      <w:r w:rsidR="00F61F1D">
        <w:t xml:space="preserve">“sterile” by the manufacturer, </w:t>
      </w:r>
      <w:r w:rsidR="00442F94">
        <w:t>[</w:t>
      </w:r>
      <w:r w:rsidR="00442F94" w:rsidRPr="00442F94">
        <w:rPr>
          <w:color w:val="FF0000"/>
        </w:rPr>
        <w:t>device short name</w:t>
      </w:r>
      <w:r w:rsidR="00442F94">
        <w:t>] is / is not class Is.</w:t>
      </w:r>
      <w:r w:rsidR="007F4139">
        <w:t xml:space="preserve"> Finally, </w:t>
      </w:r>
      <w:r w:rsidR="00BC6F4B">
        <w:t xml:space="preserve">per MDCG 2021-24 section 3.1.6, the device </w:t>
      </w:r>
      <w:r w:rsidR="00BC6F4B" w:rsidRPr="00E13848">
        <w:rPr>
          <w:color w:val="FF0000"/>
        </w:rPr>
        <w:t>fulfils / does not fulfil</w:t>
      </w:r>
      <w:r w:rsidR="00780DCB">
        <w:t xml:space="preserve"> the following criteria together as justified in </w:t>
      </w:r>
      <w:r w:rsidR="00973C7B" w:rsidRPr="00973C7B">
        <w:rPr>
          <w:b/>
          <w:bCs/>
        </w:rPr>
        <w:fldChar w:fldCharType="begin"/>
      </w:r>
      <w:r w:rsidR="00973C7B" w:rsidRPr="00973C7B">
        <w:rPr>
          <w:b/>
          <w:bCs/>
        </w:rPr>
        <w:instrText xml:space="preserve"> REF _Ref148445351 \h  \* MERGEFORMAT </w:instrText>
      </w:r>
      <w:r w:rsidR="00973C7B" w:rsidRPr="00973C7B">
        <w:rPr>
          <w:b/>
          <w:bCs/>
        </w:rPr>
      </w:r>
      <w:r w:rsidR="00973C7B" w:rsidRPr="00973C7B">
        <w:rPr>
          <w:b/>
          <w:bCs/>
        </w:rPr>
        <w:fldChar w:fldCharType="separate"/>
      </w:r>
      <w:r w:rsidR="00973C7B" w:rsidRPr="00973C7B">
        <w:rPr>
          <w:b/>
          <w:bCs/>
        </w:rPr>
        <w:t xml:space="preserve">Table </w:t>
      </w:r>
      <w:r w:rsidR="00973C7B" w:rsidRPr="00973C7B">
        <w:rPr>
          <w:b/>
          <w:bCs/>
          <w:noProof/>
        </w:rPr>
        <w:t>4</w:t>
      </w:r>
      <w:r w:rsidR="00973C7B" w:rsidRPr="00973C7B">
        <w:rPr>
          <w:b/>
          <w:bCs/>
        </w:rPr>
        <w:fldChar w:fldCharType="end"/>
      </w:r>
      <w:r w:rsidR="00542341">
        <w:t xml:space="preserve">. </w:t>
      </w:r>
      <w:r w:rsidR="00BD6324">
        <w:t>[</w:t>
      </w:r>
      <w:r w:rsidR="00BD6324" w:rsidRPr="00BD6324">
        <w:rPr>
          <w:color w:val="FF0000"/>
        </w:rPr>
        <w:t>Device short name</w:t>
      </w:r>
      <w:r w:rsidR="00BD6324">
        <w:t xml:space="preserve">] </w:t>
      </w:r>
      <w:r w:rsidR="00BD6324" w:rsidRPr="00BD6324">
        <w:rPr>
          <w:color w:val="FF0000"/>
        </w:rPr>
        <w:t>is/ is not</w:t>
      </w:r>
      <w:r w:rsidR="00BD6324">
        <w:t xml:space="preserve"> class Im.</w:t>
      </w:r>
      <w:r w:rsidR="00780DCB">
        <w:t xml:space="preserve"> </w:t>
      </w:r>
    </w:p>
    <w:p w14:paraId="30C64E03" w14:textId="4533F3C6" w:rsidR="00416A96" w:rsidRDefault="00416A96" w:rsidP="00AA3C1A"/>
    <w:p w14:paraId="33AAE013" w14:textId="76BDA5F3" w:rsidR="00780DCB" w:rsidRDefault="00780DCB" w:rsidP="00C441C6">
      <w:pPr>
        <w:pStyle w:val="Caption"/>
        <w:spacing w:after="0"/>
        <w:rPr>
          <w:i w:val="0"/>
          <w:iCs w:val="0"/>
        </w:rPr>
      </w:pPr>
      <w:bookmarkStart w:id="33" w:name="_Ref148445351"/>
      <w:bookmarkStart w:id="34" w:name="_Ref148445324"/>
      <w:r w:rsidRPr="00C441C6">
        <w:rPr>
          <w:i w:val="0"/>
          <w:iCs w:val="0"/>
        </w:rPr>
        <w:t xml:space="preserve">Table </w:t>
      </w:r>
      <w:r w:rsidRPr="00C441C6">
        <w:rPr>
          <w:i w:val="0"/>
          <w:iCs w:val="0"/>
        </w:rPr>
        <w:fldChar w:fldCharType="begin"/>
      </w:r>
      <w:r w:rsidRPr="00C441C6">
        <w:rPr>
          <w:i w:val="0"/>
          <w:iCs w:val="0"/>
        </w:rPr>
        <w:instrText xml:space="preserve"> SEQ Table \* ARABIC </w:instrText>
      </w:r>
      <w:r w:rsidRPr="00C441C6">
        <w:rPr>
          <w:i w:val="0"/>
          <w:iCs w:val="0"/>
        </w:rPr>
        <w:fldChar w:fldCharType="separate"/>
      </w:r>
      <w:r w:rsidRPr="00C441C6">
        <w:rPr>
          <w:i w:val="0"/>
          <w:iCs w:val="0"/>
          <w:noProof/>
        </w:rPr>
        <w:t>4</w:t>
      </w:r>
      <w:r w:rsidRPr="00C441C6">
        <w:rPr>
          <w:i w:val="0"/>
          <w:iCs w:val="0"/>
        </w:rPr>
        <w:fldChar w:fldCharType="end"/>
      </w:r>
      <w:bookmarkEnd w:id="33"/>
      <w:r w:rsidRPr="00C441C6">
        <w:rPr>
          <w:i w:val="0"/>
          <w:iCs w:val="0"/>
        </w:rPr>
        <w:t xml:space="preserve">: </w:t>
      </w:r>
      <w:r w:rsidR="00C441C6" w:rsidRPr="00C441C6">
        <w:rPr>
          <w:i w:val="0"/>
          <w:iCs w:val="0"/>
        </w:rPr>
        <w:t>Criteria of measuring function for class I devices</w:t>
      </w:r>
      <w:bookmarkEnd w:id="34"/>
    </w:p>
    <w:tbl>
      <w:tblPr>
        <w:tblStyle w:val="TableGrid"/>
        <w:tblW w:w="0" w:type="auto"/>
        <w:tblLook w:val="04A0" w:firstRow="1" w:lastRow="0" w:firstColumn="1" w:lastColumn="0" w:noHBand="0" w:noVBand="1"/>
      </w:tblPr>
      <w:tblGrid>
        <w:gridCol w:w="4361"/>
        <w:gridCol w:w="4482"/>
        <w:gridCol w:w="1295"/>
      </w:tblGrid>
      <w:tr w:rsidR="00C441C6" w14:paraId="5F8F7FEE" w14:textId="77777777" w:rsidTr="001F4370">
        <w:trPr>
          <w:tblHeader/>
        </w:trPr>
        <w:tc>
          <w:tcPr>
            <w:tcW w:w="4361" w:type="dxa"/>
            <w:shd w:val="clear" w:color="auto" w:fill="4F81BD" w:themeFill="accent1"/>
          </w:tcPr>
          <w:p w14:paraId="0BAA9312" w14:textId="336E3472" w:rsidR="00C441C6" w:rsidRPr="00C04DAB" w:rsidRDefault="00C441C6" w:rsidP="00C441C6">
            <w:pPr>
              <w:rPr>
                <w:b/>
                <w:bCs/>
                <w:color w:val="FFFFFF" w:themeColor="background1"/>
              </w:rPr>
            </w:pPr>
            <w:r w:rsidRPr="00C04DAB">
              <w:rPr>
                <w:b/>
                <w:bCs/>
                <w:color w:val="FFFFFF" w:themeColor="background1"/>
              </w:rPr>
              <w:t>Criteria</w:t>
            </w:r>
          </w:p>
        </w:tc>
        <w:tc>
          <w:tcPr>
            <w:tcW w:w="4482" w:type="dxa"/>
            <w:shd w:val="clear" w:color="auto" w:fill="4F81BD" w:themeFill="accent1"/>
          </w:tcPr>
          <w:p w14:paraId="29D8E0F3" w14:textId="3D5ED936" w:rsidR="00C441C6" w:rsidRPr="00C04DAB" w:rsidRDefault="006E458A" w:rsidP="00C441C6">
            <w:pPr>
              <w:rPr>
                <w:b/>
                <w:bCs/>
                <w:color w:val="FFFFFF" w:themeColor="background1"/>
              </w:rPr>
            </w:pPr>
            <w:r w:rsidRPr="00C04DAB">
              <w:rPr>
                <w:b/>
                <w:bCs/>
                <w:color w:val="FFFFFF" w:themeColor="background1"/>
              </w:rPr>
              <w:t>Justification</w:t>
            </w:r>
          </w:p>
        </w:tc>
        <w:tc>
          <w:tcPr>
            <w:tcW w:w="1295" w:type="dxa"/>
            <w:shd w:val="clear" w:color="auto" w:fill="4F81BD" w:themeFill="accent1"/>
          </w:tcPr>
          <w:p w14:paraId="003A81BA" w14:textId="014BD797" w:rsidR="00C441C6" w:rsidRPr="00C04DAB" w:rsidRDefault="006E458A" w:rsidP="00C441C6">
            <w:pPr>
              <w:rPr>
                <w:b/>
                <w:bCs/>
                <w:color w:val="FFFFFF" w:themeColor="background1"/>
              </w:rPr>
            </w:pPr>
            <w:r w:rsidRPr="00C04DAB">
              <w:rPr>
                <w:b/>
                <w:bCs/>
                <w:color w:val="FFFFFF" w:themeColor="background1"/>
              </w:rPr>
              <w:t>Applicable</w:t>
            </w:r>
          </w:p>
        </w:tc>
      </w:tr>
      <w:tr w:rsidR="00C441C6" w14:paraId="340561BB" w14:textId="77777777" w:rsidTr="00464F3C">
        <w:tc>
          <w:tcPr>
            <w:tcW w:w="4361" w:type="dxa"/>
          </w:tcPr>
          <w:p w14:paraId="1F2BB29E" w14:textId="66465785" w:rsidR="00C441C6" w:rsidRDefault="005D6500" w:rsidP="00C441C6">
            <w:r>
              <w:t>a)</w:t>
            </w:r>
            <w:r w:rsidR="006F1CA6">
              <w:t xml:space="preserve"> </w:t>
            </w:r>
            <w:r w:rsidR="003D6C14" w:rsidRPr="003D6C14">
              <w:t>The device is intended by the manufacturer to measure</w:t>
            </w:r>
          </w:p>
        </w:tc>
        <w:tc>
          <w:tcPr>
            <w:tcW w:w="4482" w:type="dxa"/>
            <w:shd w:val="clear" w:color="auto" w:fill="F2F2F2" w:themeFill="background1" w:themeFillShade="F2"/>
          </w:tcPr>
          <w:p w14:paraId="6A702180" w14:textId="705A4857" w:rsidR="00C441C6" w:rsidRPr="00464F3C" w:rsidRDefault="00464F3C" w:rsidP="00C441C6">
            <w:r w:rsidRPr="00464F3C">
              <w:t>-</w:t>
            </w:r>
          </w:p>
        </w:tc>
        <w:tc>
          <w:tcPr>
            <w:tcW w:w="1295" w:type="dxa"/>
            <w:shd w:val="clear" w:color="auto" w:fill="F2F2F2" w:themeFill="background1" w:themeFillShade="F2"/>
          </w:tcPr>
          <w:p w14:paraId="6AC21DFD" w14:textId="4C8218BB" w:rsidR="00C441C6" w:rsidRPr="00464F3C" w:rsidRDefault="00464F3C" w:rsidP="00C441C6">
            <w:r w:rsidRPr="00464F3C">
              <w:t>-</w:t>
            </w:r>
          </w:p>
        </w:tc>
      </w:tr>
      <w:tr w:rsidR="00840BA5" w14:paraId="7274C6C4" w14:textId="77777777" w:rsidTr="001F4370">
        <w:tc>
          <w:tcPr>
            <w:tcW w:w="4361" w:type="dxa"/>
          </w:tcPr>
          <w:p w14:paraId="4D830F36" w14:textId="172750ED" w:rsidR="00840BA5" w:rsidRPr="003D6C14" w:rsidRDefault="003D6C14" w:rsidP="003D6C14">
            <w:pPr>
              <w:pStyle w:val="ListParagraph"/>
              <w:numPr>
                <w:ilvl w:val="0"/>
                <w:numId w:val="22"/>
              </w:numPr>
              <w:ind w:left="426"/>
              <w:rPr>
                <w:lang w:val="en-US"/>
              </w:rPr>
            </w:pPr>
            <w:r w:rsidRPr="003D6C14">
              <w:rPr>
                <w:lang w:val="en-US"/>
              </w:rPr>
              <w:t>quantitatively a physiological or anatomical parameter,</w:t>
            </w:r>
            <w:r>
              <w:rPr>
                <w:lang w:val="en-US"/>
              </w:rPr>
              <w:t xml:space="preserve"> or</w:t>
            </w:r>
          </w:p>
        </w:tc>
        <w:tc>
          <w:tcPr>
            <w:tcW w:w="4482" w:type="dxa"/>
          </w:tcPr>
          <w:p w14:paraId="37EB6103" w14:textId="77777777" w:rsidR="00840BA5" w:rsidRDefault="00840BA5" w:rsidP="00840BA5"/>
        </w:tc>
        <w:tc>
          <w:tcPr>
            <w:tcW w:w="1295" w:type="dxa"/>
          </w:tcPr>
          <w:p w14:paraId="5BF57420" w14:textId="37A7682A" w:rsidR="00840BA5" w:rsidRDefault="00840BA5" w:rsidP="00840BA5">
            <w:r w:rsidRPr="006E458A">
              <w:rPr>
                <w:color w:val="FF0000"/>
              </w:rPr>
              <w:t>Yes/No</w:t>
            </w:r>
          </w:p>
        </w:tc>
      </w:tr>
      <w:tr w:rsidR="00840BA5" w14:paraId="0F0A345A" w14:textId="77777777" w:rsidTr="001F4370">
        <w:tc>
          <w:tcPr>
            <w:tcW w:w="4361" w:type="dxa"/>
          </w:tcPr>
          <w:p w14:paraId="04FA3090" w14:textId="1862E651" w:rsidR="00840BA5" w:rsidRPr="002D4A38" w:rsidRDefault="003D6C14" w:rsidP="003D6C14">
            <w:pPr>
              <w:pStyle w:val="ListParagraph"/>
              <w:numPr>
                <w:ilvl w:val="0"/>
                <w:numId w:val="22"/>
              </w:numPr>
              <w:ind w:left="426"/>
              <w:rPr>
                <w:lang w:val="en-US"/>
              </w:rPr>
            </w:pPr>
            <w:r w:rsidRPr="003D6C14">
              <w:rPr>
                <w:lang w:val="en-US"/>
              </w:rPr>
              <w:t xml:space="preserve">a quantity or a quantifiable characteristic of energy or of substances (including medicinal products) delivered to or removed from the human body. </w:t>
            </w:r>
            <w:r w:rsidRPr="002D4A38">
              <w:rPr>
                <w:lang w:val="en-US"/>
              </w:rPr>
              <w:t xml:space="preserve">Spoons or plastic syringes co-packed with medicinal products and used to measure a quantity of that medicinal product to be administered to the </w:t>
            </w:r>
            <w:r w:rsidRPr="003D6C14">
              <w:rPr>
                <w:lang w:val="en-US"/>
              </w:rPr>
              <w:t>patient</w:t>
            </w:r>
            <w:r w:rsidRPr="002D4A38">
              <w:rPr>
                <w:lang w:val="en-US"/>
              </w:rPr>
              <w:t xml:space="preserve"> are in this category. Devices for the delivery of liquid to the human body without graduation or scale (e.g. medicine spoons, cups, droppers without graduation or scale or display of measuring unit) are not in this category</w:t>
            </w:r>
          </w:p>
        </w:tc>
        <w:tc>
          <w:tcPr>
            <w:tcW w:w="4482" w:type="dxa"/>
          </w:tcPr>
          <w:p w14:paraId="0D25B266" w14:textId="77777777" w:rsidR="00840BA5" w:rsidRDefault="00840BA5" w:rsidP="00840BA5"/>
        </w:tc>
        <w:tc>
          <w:tcPr>
            <w:tcW w:w="1295" w:type="dxa"/>
          </w:tcPr>
          <w:p w14:paraId="7A399B5D" w14:textId="36D80285" w:rsidR="00840BA5" w:rsidRDefault="00840BA5" w:rsidP="00840BA5">
            <w:r w:rsidRPr="006E458A">
              <w:rPr>
                <w:color w:val="FF0000"/>
              </w:rPr>
              <w:t>Yes/No</w:t>
            </w:r>
          </w:p>
        </w:tc>
      </w:tr>
      <w:tr w:rsidR="00840BA5" w14:paraId="733E6020" w14:textId="77777777" w:rsidTr="005D6500">
        <w:tc>
          <w:tcPr>
            <w:tcW w:w="4361" w:type="dxa"/>
          </w:tcPr>
          <w:p w14:paraId="15871406" w14:textId="01CB108B" w:rsidR="00840BA5" w:rsidRDefault="005D6500" w:rsidP="00840BA5">
            <w:r>
              <w:t>b)</w:t>
            </w:r>
            <w:r w:rsidR="006F1CA6">
              <w:t xml:space="preserve"> </w:t>
            </w:r>
            <w:r w:rsidRPr="005D6500">
              <w:t>The result of the measurement:</w:t>
            </w:r>
          </w:p>
        </w:tc>
        <w:tc>
          <w:tcPr>
            <w:tcW w:w="4482" w:type="dxa"/>
            <w:shd w:val="clear" w:color="auto" w:fill="F2F2F2" w:themeFill="background1" w:themeFillShade="F2"/>
          </w:tcPr>
          <w:p w14:paraId="7A17EDE9" w14:textId="71633DA9" w:rsidR="00840BA5" w:rsidRDefault="005D6500" w:rsidP="00840BA5">
            <w:r>
              <w:t>-</w:t>
            </w:r>
          </w:p>
        </w:tc>
        <w:tc>
          <w:tcPr>
            <w:tcW w:w="1295" w:type="dxa"/>
            <w:shd w:val="clear" w:color="auto" w:fill="F2F2F2" w:themeFill="background1" w:themeFillShade="F2"/>
          </w:tcPr>
          <w:p w14:paraId="030F0BA5" w14:textId="7681ECB8" w:rsidR="00840BA5" w:rsidRDefault="005D6500" w:rsidP="00840BA5">
            <w:r>
              <w:t>-</w:t>
            </w:r>
          </w:p>
        </w:tc>
      </w:tr>
      <w:tr w:rsidR="00464F3C" w14:paraId="134B2C28" w14:textId="77777777" w:rsidTr="001F4370">
        <w:tc>
          <w:tcPr>
            <w:tcW w:w="4361" w:type="dxa"/>
          </w:tcPr>
          <w:p w14:paraId="00F12BB9" w14:textId="5E0CDD62" w:rsidR="00464F3C" w:rsidRPr="005D6500" w:rsidRDefault="005D6500" w:rsidP="005D6500">
            <w:pPr>
              <w:pStyle w:val="ListParagraph"/>
              <w:numPr>
                <w:ilvl w:val="0"/>
                <w:numId w:val="22"/>
              </w:numPr>
              <w:ind w:left="426"/>
              <w:rPr>
                <w:lang w:val="en-US"/>
              </w:rPr>
            </w:pPr>
            <w:r w:rsidRPr="005D6500">
              <w:rPr>
                <w:lang w:val="en-US"/>
              </w:rPr>
              <w:t xml:space="preserve">is displayed in legal units or other acceptable units within the meaning of </w:t>
            </w:r>
            <w:r w:rsidRPr="005D6500">
              <w:rPr>
                <w:lang w:val="en-US"/>
              </w:rPr>
              <w:lastRenderedPageBreak/>
              <w:t>Directive 80/181/ECC20, or</w:t>
            </w:r>
          </w:p>
        </w:tc>
        <w:tc>
          <w:tcPr>
            <w:tcW w:w="4482" w:type="dxa"/>
          </w:tcPr>
          <w:p w14:paraId="3F26FC53" w14:textId="77777777" w:rsidR="00464F3C" w:rsidRDefault="00464F3C" w:rsidP="00464F3C"/>
        </w:tc>
        <w:tc>
          <w:tcPr>
            <w:tcW w:w="1295" w:type="dxa"/>
          </w:tcPr>
          <w:p w14:paraId="55AAC4C2" w14:textId="7FE06756" w:rsidR="00464F3C" w:rsidRPr="006E458A" w:rsidRDefault="00464F3C" w:rsidP="00464F3C">
            <w:pPr>
              <w:rPr>
                <w:color w:val="FF0000"/>
              </w:rPr>
            </w:pPr>
            <w:r w:rsidRPr="006E458A">
              <w:rPr>
                <w:color w:val="FF0000"/>
              </w:rPr>
              <w:t>Yes/No</w:t>
            </w:r>
          </w:p>
        </w:tc>
      </w:tr>
      <w:tr w:rsidR="00464F3C" w14:paraId="41F9C1C9" w14:textId="77777777" w:rsidTr="001F4370">
        <w:tc>
          <w:tcPr>
            <w:tcW w:w="4361" w:type="dxa"/>
          </w:tcPr>
          <w:p w14:paraId="60DC3C6A" w14:textId="069108AD" w:rsidR="00464F3C" w:rsidRPr="005D6500" w:rsidRDefault="005D6500" w:rsidP="005D6500">
            <w:pPr>
              <w:pStyle w:val="ListParagraph"/>
              <w:numPr>
                <w:ilvl w:val="0"/>
                <w:numId w:val="22"/>
              </w:numPr>
              <w:ind w:left="426"/>
              <w:rPr>
                <w:lang w:val="en-US"/>
              </w:rPr>
            </w:pPr>
            <w:r w:rsidRPr="005D6500">
              <w:rPr>
                <w:lang w:val="en-US"/>
              </w:rPr>
              <w:t>is compared to at least one point of reference indicated in legal units or other acceptable units in compliance with the mentioned directive</w:t>
            </w:r>
          </w:p>
        </w:tc>
        <w:tc>
          <w:tcPr>
            <w:tcW w:w="4482" w:type="dxa"/>
          </w:tcPr>
          <w:p w14:paraId="7C0689B1" w14:textId="77777777" w:rsidR="00464F3C" w:rsidRDefault="00464F3C" w:rsidP="00464F3C"/>
        </w:tc>
        <w:tc>
          <w:tcPr>
            <w:tcW w:w="1295" w:type="dxa"/>
          </w:tcPr>
          <w:p w14:paraId="21DD4DAE" w14:textId="5EE95E07" w:rsidR="00464F3C" w:rsidRPr="006E458A" w:rsidRDefault="00464F3C" w:rsidP="00464F3C">
            <w:pPr>
              <w:rPr>
                <w:color w:val="FF0000"/>
              </w:rPr>
            </w:pPr>
            <w:r w:rsidRPr="006E458A">
              <w:rPr>
                <w:color w:val="FF0000"/>
              </w:rPr>
              <w:t>Yes/No</w:t>
            </w:r>
          </w:p>
        </w:tc>
      </w:tr>
      <w:tr w:rsidR="00464F3C" w14:paraId="664737B7" w14:textId="77777777" w:rsidTr="001F4370">
        <w:tc>
          <w:tcPr>
            <w:tcW w:w="4361" w:type="dxa"/>
          </w:tcPr>
          <w:p w14:paraId="78315F4C" w14:textId="4B75D076" w:rsidR="00464F3C" w:rsidRDefault="006F1CA6" w:rsidP="00464F3C">
            <w:r w:rsidRPr="006F1CA6">
              <w:t>c) The intended purpose implies accuracy, claimed explicitly or implicitly, where a non-compliance with the implied accuracy could result in a significant adverse effect on the patient’s health and safety.</w:t>
            </w:r>
          </w:p>
        </w:tc>
        <w:tc>
          <w:tcPr>
            <w:tcW w:w="4482" w:type="dxa"/>
          </w:tcPr>
          <w:p w14:paraId="1921D941" w14:textId="77777777" w:rsidR="00464F3C" w:rsidRDefault="00464F3C" w:rsidP="00464F3C"/>
        </w:tc>
        <w:tc>
          <w:tcPr>
            <w:tcW w:w="1295" w:type="dxa"/>
          </w:tcPr>
          <w:p w14:paraId="429842CB" w14:textId="39C92243" w:rsidR="00464F3C" w:rsidRPr="006E458A" w:rsidRDefault="00464F3C" w:rsidP="00464F3C">
            <w:pPr>
              <w:rPr>
                <w:color w:val="FF0000"/>
              </w:rPr>
            </w:pPr>
            <w:r w:rsidRPr="006E458A">
              <w:rPr>
                <w:color w:val="FF0000"/>
              </w:rPr>
              <w:t>Yes/No</w:t>
            </w:r>
          </w:p>
        </w:tc>
      </w:tr>
    </w:tbl>
    <w:p w14:paraId="76DBCCBF" w14:textId="77777777" w:rsidR="00A56E73" w:rsidRDefault="00A56E73" w:rsidP="00A56E73"/>
    <w:p w14:paraId="760AE5F7" w14:textId="0211905C" w:rsidR="00FC0106" w:rsidRDefault="00FC0106" w:rsidP="00FC0106">
      <w:pPr>
        <w:pStyle w:val="Heading3"/>
      </w:pPr>
      <w:bookmarkStart w:id="35" w:name="_Toc148457105"/>
      <w:r>
        <w:t>Classification conclusion</w:t>
      </w:r>
      <w:bookmarkEnd w:id="35"/>
    </w:p>
    <w:p w14:paraId="4A6AB22E" w14:textId="77777777" w:rsidR="00E577C0" w:rsidRDefault="00E577C0" w:rsidP="00E577C0">
      <w:r>
        <w:t>[</w:t>
      </w:r>
      <w:r w:rsidRPr="00035A3F">
        <w:rPr>
          <w:color w:val="FF0000"/>
        </w:rPr>
        <w:t>device short name</w:t>
      </w:r>
      <w:r>
        <w:t>] has been determined to be:</w:t>
      </w:r>
    </w:p>
    <w:p w14:paraId="7A427C1A" w14:textId="77777777" w:rsidR="00E577C0" w:rsidRPr="00E577C0" w:rsidRDefault="00E577C0" w:rsidP="00E577C0">
      <w:pPr>
        <w:pStyle w:val="ListParagraph"/>
        <w:numPr>
          <w:ilvl w:val="0"/>
          <w:numId w:val="16"/>
        </w:numPr>
        <w:rPr>
          <w:color w:val="FF0000"/>
          <w:lang w:val="en-US"/>
        </w:rPr>
      </w:pPr>
      <w:r w:rsidRPr="00E577C0">
        <w:rPr>
          <w:color w:val="FF0000"/>
          <w:lang w:val="en-US"/>
        </w:rPr>
        <w:t>Class XX per Rule Y</w:t>
      </w:r>
    </w:p>
    <w:p w14:paraId="639FF923" w14:textId="77777777" w:rsidR="00E577C0" w:rsidRPr="00E577C0" w:rsidRDefault="00E577C0" w:rsidP="00E577C0">
      <w:pPr>
        <w:pStyle w:val="ListParagraph"/>
        <w:numPr>
          <w:ilvl w:val="0"/>
          <w:numId w:val="16"/>
        </w:numPr>
        <w:rPr>
          <w:color w:val="FF0000"/>
          <w:lang w:val="en-US"/>
        </w:rPr>
      </w:pPr>
      <w:r w:rsidRPr="00E577C0">
        <w:rPr>
          <w:color w:val="FF0000"/>
          <w:lang w:val="en-US"/>
        </w:rPr>
        <w:t>Class XX per Rule Y</w:t>
      </w:r>
    </w:p>
    <w:p w14:paraId="0FB30403" w14:textId="72B2275E" w:rsidR="00FC0106" w:rsidRDefault="00502D7E" w:rsidP="00FC0106">
      <w:r>
        <w:t xml:space="preserve">According to Annex VIII section 3.5, </w:t>
      </w:r>
      <w:r w:rsidR="00035A3F" w:rsidRPr="00035A3F">
        <w:t>If several rules, or if, within the same rule, several sub-rules, apply to the same device based on the device's intended purpose, the strictest rule and sub-rule resulting in the higher classification shall apply.</w:t>
      </w:r>
    </w:p>
    <w:p w14:paraId="2FC3BF5D" w14:textId="6D1606CB" w:rsidR="00265076" w:rsidRDefault="00265076" w:rsidP="00FC0106">
      <w:r>
        <w:t>In conclusion, [</w:t>
      </w:r>
      <w:r w:rsidRPr="00265076">
        <w:rPr>
          <w:color w:val="FF0000"/>
        </w:rPr>
        <w:t>device short name</w:t>
      </w:r>
      <w:r>
        <w:t xml:space="preserve">] is class </w:t>
      </w:r>
      <w:r w:rsidRPr="004F4CC0">
        <w:rPr>
          <w:color w:val="FF0000"/>
        </w:rPr>
        <w:t>XX per Rule Y</w:t>
      </w:r>
      <w:r>
        <w:t>.</w:t>
      </w:r>
    </w:p>
    <w:p w14:paraId="5BC2580C" w14:textId="3E5BE3B8" w:rsidR="001C7CDB" w:rsidRDefault="001C7CDB" w:rsidP="001C7CDB">
      <w:pPr>
        <w:pStyle w:val="Heading2"/>
      </w:pPr>
      <w:bookmarkStart w:id="36" w:name="_Ref148430116"/>
      <w:bookmarkStart w:id="37" w:name="_Toc148457106"/>
      <w:r>
        <w:t>Conformity assessment route</w:t>
      </w:r>
      <w:bookmarkEnd w:id="36"/>
      <w:bookmarkEnd w:id="37"/>
    </w:p>
    <w:p w14:paraId="4B255964" w14:textId="1420BD06" w:rsidR="001C7CDB" w:rsidRDefault="004E1D8C" w:rsidP="004E1D8C">
      <w:pPr>
        <w:pStyle w:val="Heading3"/>
      </w:pPr>
      <w:bookmarkStart w:id="38" w:name="_Toc148457107"/>
      <w:r>
        <w:t>Conformity assessment option</w:t>
      </w:r>
      <w:r w:rsidR="00796AB3">
        <w:t>s</w:t>
      </w:r>
      <w:bookmarkEnd w:id="38"/>
    </w:p>
    <w:p w14:paraId="379C6F5E" w14:textId="1F4A898A" w:rsidR="00E35C15" w:rsidRDefault="00E35C15" w:rsidP="00E35C15">
      <w:r>
        <w:t>[</w:t>
      </w:r>
      <w:r w:rsidRPr="00CD0FAD">
        <w:rPr>
          <w:color w:val="FF0000"/>
        </w:rPr>
        <w:t>Device short name</w:t>
      </w:r>
      <w:r>
        <w:t xml:space="preserve">] has been determined to be class </w:t>
      </w:r>
      <w:r w:rsidRPr="00944F11">
        <w:rPr>
          <w:color w:val="FF0000"/>
        </w:rPr>
        <w:t>III/IIb/IIa/Im/Ir/Is/I</w:t>
      </w:r>
      <w:r>
        <w:t xml:space="preserve"> under Annex VIII of the MDR</w:t>
      </w:r>
      <w:r w:rsidR="00F94058">
        <w:t>. Hence</w:t>
      </w:r>
      <w:r>
        <w:t xml:space="preserve">, </w:t>
      </w:r>
      <w:r w:rsidR="00F94058">
        <w:t>[</w:t>
      </w:r>
      <w:r w:rsidR="00F94058" w:rsidRPr="00371710">
        <w:rPr>
          <w:color w:val="FF0000"/>
        </w:rPr>
        <w:t>Device short name</w:t>
      </w:r>
      <w:r w:rsidR="00F94058">
        <w:t>]</w:t>
      </w:r>
      <w:r>
        <w:t xml:space="preserve"> can be marketed in EU using </w:t>
      </w:r>
      <w:r w:rsidR="00F94058">
        <w:t xml:space="preserve">one of the </w:t>
      </w:r>
      <w:r w:rsidR="002C5ED0">
        <w:t>regulatory pathway</w:t>
      </w:r>
      <w:r w:rsidR="00371710">
        <w:t>s,</w:t>
      </w:r>
      <w:r w:rsidR="002C5ED0">
        <w:t xml:space="preserve"> described in the following flowchart.</w:t>
      </w:r>
    </w:p>
    <w:p w14:paraId="7D2AFEC7" w14:textId="77777777" w:rsidR="00F53497" w:rsidRDefault="00F53497" w:rsidP="00E35C15"/>
    <w:p w14:paraId="5C74C29F" w14:textId="2E5E79FA" w:rsidR="00F53497" w:rsidRDefault="00F53497" w:rsidP="00E35C15">
      <w:r w:rsidRPr="00F53497">
        <w:rPr>
          <w:highlight w:val="yellow"/>
        </w:rPr>
        <w:t>Remove the flowcharts that are not applicable.</w:t>
      </w:r>
    </w:p>
    <w:p w14:paraId="062DE96C" w14:textId="77777777" w:rsidR="00C64F0E" w:rsidRDefault="00C64F0E" w:rsidP="00E35C15"/>
    <w:p w14:paraId="76959752" w14:textId="6A9CFFB1" w:rsidR="00C64F0E" w:rsidRDefault="00AC6D90" w:rsidP="00AC6D90">
      <w:pPr>
        <w:pStyle w:val="Caption"/>
        <w:spacing w:after="0"/>
        <w:rPr>
          <w:i w:val="0"/>
          <w:iCs w:val="0"/>
        </w:rPr>
      </w:pPr>
      <w:r w:rsidRPr="00AC6D90">
        <w:rPr>
          <w:i w:val="0"/>
          <w:iCs w:val="0"/>
        </w:rPr>
        <w:t xml:space="preserve">Figure </w:t>
      </w:r>
      <w:r w:rsidRPr="00AC6D90">
        <w:rPr>
          <w:i w:val="0"/>
          <w:iCs w:val="0"/>
        </w:rPr>
        <w:fldChar w:fldCharType="begin"/>
      </w:r>
      <w:r w:rsidRPr="00AC6D90">
        <w:rPr>
          <w:i w:val="0"/>
          <w:iCs w:val="0"/>
        </w:rPr>
        <w:instrText xml:space="preserve"> SEQ Figure \* ARABIC </w:instrText>
      </w:r>
      <w:r w:rsidRPr="00AC6D90">
        <w:rPr>
          <w:i w:val="0"/>
          <w:iCs w:val="0"/>
        </w:rPr>
        <w:fldChar w:fldCharType="separate"/>
      </w:r>
      <w:r w:rsidRPr="00AC6D90">
        <w:rPr>
          <w:i w:val="0"/>
          <w:iCs w:val="0"/>
          <w:noProof/>
        </w:rPr>
        <w:t>1</w:t>
      </w:r>
      <w:r w:rsidRPr="00AC6D90">
        <w:rPr>
          <w:i w:val="0"/>
          <w:iCs w:val="0"/>
        </w:rPr>
        <w:fldChar w:fldCharType="end"/>
      </w:r>
      <w:r w:rsidRPr="00AC6D90">
        <w:rPr>
          <w:i w:val="0"/>
          <w:iCs w:val="0"/>
        </w:rPr>
        <w:t xml:space="preserve">: </w:t>
      </w:r>
      <w:r w:rsidR="00C64F0E" w:rsidRPr="00AC6D90">
        <w:rPr>
          <w:i w:val="0"/>
          <w:iCs w:val="0"/>
        </w:rPr>
        <w:t xml:space="preserve">Applicable regulatory routes for Class </w:t>
      </w:r>
      <w:r w:rsidR="00C64F0E" w:rsidRPr="00AC6D90">
        <w:rPr>
          <w:i w:val="0"/>
          <w:iCs w:val="0"/>
          <w:color w:val="FF0000"/>
        </w:rPr>
        <w:t>X</w:t>
      </w:r>
      <w:r w:rsidR="00C64F0E" w:rsidRPr="00AC6D90">
        <w:rPr>
          <w:i w:val="0"/>
          <w:iCs w:val="0"/>
        </w:rPr>
        <w:t xml:space="preserve"> devices under MDR.</w:t>
      </w:r>
    </w:p>
    <w:p w14:paraId="7A8765EA" w14:textId="00FFB29D" w:rsidR="00C0634A" w:rsidRDefault="00431CD8" w:rsidP="00431CD8">
      <w:pPr>
        <w:jc w:val="center"/>
      </w:pPr>
      <w:r w:rsidRPr="00431CD8">
        <w:rPr>
          <w:noProof/>
        </w:rPr>
        <w:drawing>
          <wp:inline distT="0" distB="0" distL="0" distR="0" wp14:anchorId="6C73D09C" wp14:editId="56FF01CE">
            <wp:extent cx="2538202" cy="3114675"/>
            <wp:effectExtent l="0" t="0" r="0" b="0"/>
            <wp:docPr id="54558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3528" name=""/>
                    <pic:cNvPicPr/>
                  </pic:nvPicPr>
                  <pic:blipFill>
                    <a:blip r:embed="rId12"/>
                    <a:stretch>
                      <a:fillRect/>
                    </a:stretch>
                  </pic:blipFill>
                  <pic:spPr>
                    <a:xfrm>
                      <a:off x="0" y="0"/>
                      <a:ext cx="2555804" cy="3136274"/>
                    </a:xfrm>
                    <a:prstGeom prst="rect">
                      <a:avLst/>
                    </a:prstGeom>
                  </pic:spPr>
                </pic:pic>
              </a:graphicData>
            </a:graphic>
          </wp:inline>
        </w:drawing>
      </w:r>
    </w:p>
    <w:p w14:paraId="68D0F163" w14:textId="21C4F2FE" w:rsidR="00431CD8" w:rsidRDefault="00525F00" w:rsidP="00431CD8">
      <w:pPr>
        <w:jc w:val="center"/>
      </w:pPr>
      <w:r w:rsidRPr="00525F00">
        <w:rPr>
          <w:noProof/>
        </w:rPr>
        <w:lastRenderedPageBreak/>
        <w:drawing>
          <wp:inline distT="0" distB="0" distL="0" distR="0" wp14:anchorId="1BAAB6E5" wp14:editId="7A8E86AD">
            <wp:extent cx="4957763" cy="3305175"/>
            <wp:effectExtent l="0" t="0" r="0" b="0"/>
            <wp:docPr id="600946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46108" name=""/>
                    <pic:cNvPicPr/>
                  </pic:nvPicPr>
                  <pic:blipFill>
                    <a:blip r:embed="rId13"/>
                    <a:stretch>
                      <a:fillRect/>
                    </a:stretch>
                  </pic:blipFill>
                  <pic:spPr>
                    <a:xfrm>
                      <a:off x="0" y="0"/>
                      <a:ext cx="4966153" cy="3310768"/>
                    </a:xfrm>
                    <a:prstGeom prst="rect">
                      <a:avLst/>
                    </a:prstGeom>
                  </pic:spPr>
                </pic:pic>
              </a:graphicData>
            </a:graphic>
          </wp:inline>
        </w:drawing>
      </w:r>
    </w:p>
    <w:p w14:paraId="21B098F4" w14:textId="77777777" w:rsidR="007B216E" w:rsidRDefault="007B216E" w:rsidP="00431CD8">
      <w:pPr>
        <w:jc w:val="center"/>
      </w:pPr>
    </w:p>
    <w:p w14:paraId="2F8074F6" w14:textId="563F9D69" w:rsidR="006331FF" w:rsidRDefault="00654DAB" w:rsidP="00431CD8">
      <w:pPr>
        <w:jc w:val="center"/>
      </w:pPr>
      <w:r w:rsidRPr="00654DAB">
        <w:rPr>
          <w:noProof/>
        </w:rPr>
        <w:drawing>
          <wp:inline distT="0" distB="0" distL="0" distR="0" wp14:anchorId="6186A1AE" wp14:editId="3D679CEF">
            <wp:extent cx="6300470" cy="3494405"/>
            <wp:effectExtent l="0" t="0" r="0" b="0"/>
            <wp:docPr id="200499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94263" name=""/>
                    <pic:cNvPicPr/>
                  </pic:nvPicPr>
                  <pic:blipFill>
                    <a:blip r:embed="rId14"/>
                    <a:stretch>
                      <a:fillRect/>
                    </a:stretch>
                  </pic:blipFill>
                  <pic:spPr>
                    <a:xfrm>
                      <a:off x="0" y="0"/>
                      <a:ext cx="6300470" cy="3494405"/>
                    </a:xfrm>
                    <a:prstGeom prst="rect">
                      <a:avLst/>
                    </a:prstGeom>
                  </pic:spPr>
                </pic:pic>
              </a:graphicData>
            </a:graphic>
          </wp:inline>
        </w:drawing>
      </w:r>
    </w:p>
    <w:p w14:paraId="4D3F4D4F" w14:textId="64DCCB06" w:rsidR="00654DAB" w:rsidRDefault="006A100F" w:rsidP="00431CD8">
      <w:pPr>
        <w:jc w:val="center"/>
      </w:pPr>
      <w:r w:rsidRPr="006A100F">
        <w:rPr>
          <w:noProof/>
        </w:rPr>
        <w:lastRenderedPageBreak/>
        <w:drawing>
          <wp:inline distT="0" distB="0" distL="0" distR="0" wp14:anchorId="05659294" wp14:editId="50426F37">
            <wp:extent cx="6300470" cy="3528695"/>
            <wp:effectExtent l="0" t="0" r="0" b="0"/>
            <wp:docPr id="1037715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15160" name=""/>
                    <pic:cNvPicPr/>
                  </pic:nvPicPr>
                  <pic:blipFill>
                    <a:blip r:embed="rId15"/>
                    <a:stretch>
                      <a:fillRect/>
                    </a:stretch>
                  </pic:blipFill>
                  <pic:spPr>
                    <a:xfrm>
                      <a:off x="0" y="0"/>
                      <a:ext cx="6300470" cy="3528695"/>
                    </a:xfrm>
                    <a:prstGeom prst="rect">
                      <a:avLst/>
                    </a:prstGeom>
                  </pic:spPr>
                </pic:pic>
              </a:graphicData>
            </a:graphic>
          </wp:inline>
        </w:drawing>
      </w:r>
    </w:p>
    <w:p w14:paraId="757F5B0D" w14:textId="77777777" w:rsidR="00F25CDC" w:rsidRDefault="00F25CDC" w:rsidP="00431CD8">
      <w:pPr>
        <w:jc w:val="center"/>
      </w:pPr>
    </w:p>
    <w:p w14:paraId="7016094B" w14:textId="4C678AA4" w:rsidR="00F25CDC" w:rsidRDefault="003477D4" w:rsidP="00431CD8">
      <w:pPr>
        <w:jc w:val="center"/>
      </w:pPr>
      <w:r w:rsidRPr="003477D4">
        <w:rPr>
          <w:noProof/>
        </w:rPr>
        <w:drawing>
          <wp:inline distT="0" distB="0" distL="0" distR="0" wp14:anchorId="3B3E9B8E" wp14:editId="0C500FCD">
            <wp:extent cx="6300470" cy="3509645"/>
            <wp:effectExtent l="0" t="0" r="0" b="0"/>
            <wp:docPr id="1436898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98921" name=""/>
                    <pic:cNvPicPr/>
                  </pic:nvPicPr>
                  <pic:blipFill>
                    <a:blip r:embed="rId16"/>
                    <a:stretch>
                      <a:fillRect/>
                    </a:stretch>
                  </pic:blipFill>
                  <pic:spPr>
                    <a:xfrm>
                      <a:off x="0" y="0"/>
                      <a:ext cx="6300470" cy="3509645"/>
                    </a:xfrm>
                    <a:prstGeom prst="rect">
                      <a:avLst/>
                    </a:prstGeom>
                  </pic:spPr>
                </pic:pic>
              </a:graphicData>
            </a:graphic>
          </wp:inline>
        </w:drawing>
      </w:r>
    </w:p>
    <w:p w14:paraId="09D11A63" w14:textId="77777777" w:rsidR="00BE79AF" w:rsidRDefault="00BE79AF" w:rsidP="00431CD8">
      <w:pPr>
        <w:jc w:val="center"/>
      </w:pPr>
    </w:p>
    <w:p w14:paraId="0A0224A6" w14:textId="47BA59A8" w:rsidR="007B216E" w:rsidRDefault="009E0AAE" w:rsidP="00431CD8">
      <w:pPr>
        <w:jc w:val="center"/>
      </w:pPr>
      <w:r w:rsidRPr="009E0AAE">
        <w:rPr>
          <w:noProof/>
        </w:rPr>
        <w:lastRenderedPageBreak/>
        <w:drawing>
          <wp:inline distT="0" distB="0" distL="0" distR="0" wp14:anchorId="530E4CCF" wp14:editId="4FA1E199">
            <wp:extent cx="6300470" cy="4051300"/>
            <wp:effectExtent l="0" t="0" r="0" b="0"/>
            <wp:docPr id="1840727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27076" name=""/>
                    <pic:cNvPicPr/>
                  </pic:nvPicPr>
                  <pic:blipFill>
                    <a:blip r:embed="rId17"/>
                    <a:stretch>
                      <a:fillRect/>
                    </a:stretch>
                  </pic:blipFill>
                  <pic:spPr>
                    <a:xfrm>
                      <a:off x="0" y="0"/>
                      <a:ext cx="6300470" cy="4051300"/>
                    </a:xfrm>
                    <a:prstGeom prst="rect">
                      <a:avLst/>
                    </a:prstGeom>
                  </pic:spPr>
                </pic:pic>
              </a:graphicData>
            </a:graphic>
          </wp:inline>
        </w:drawing>
      </w:r>
    </w:p>
    <w:p w14:paraId="2FEE089F" w14:textId="77777777" w:rsidR="009E0AAE" w:rsidRDefault="009E0AAE" w:rsidP="00431CD8">
      <w:pPr>
        <w:jc w:val="center"/>
      </w:pPr>
    </w:p>
    <w:p w14:paraId="67FFA40A" w14:textId="6524A9AB" w:rsidR="00AD52A7" w:rsidRDefault="00AD52A7" w:rsidP="00431CD8">
      <w:pPr>
        <w:jc w:val="center"/>
      </w:pPr>
      <w:r w:rsidRPr="00AD52A7">
        <w:rPr>
          <w:noProof/>
        </w:rPr>
        <w:drawing>
          <wp:inline distT="0" distB="0" distL="0" distR="0" wp14:anchorId="4A8DF4B0" wp14:editId="177BD19E">
            <wp:extent cx="6300470" cy="4083685"/>
            <wp:effectExtent l="0" t="0" r="0" b="0"/>
            <wp:docPr id="448362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62712" name=""/>
                    <pic:cNvPicPr/>
                  </pic:nvPicPr>
                  <pic:blipFill>
                    <a:blip r:embed="rId18"/>
                    <a:stretch>
                      <a:fillRect/>
                    </a:stretch>
                  </pic:blipFill>
                  <pic:spPr>
                    <a:xfrm>
                      <a:off x="0" y="0"/>
                      <a:ext cx="6300470" cy="4083685"/>
                    </a:xfrm>
                    <a:prstGeom prst="rect">
                      <a:avLst/>
                    </a:prstGeom>
                  </pic:spPr>
                </pic:pic>
              </a:graphicData>
            </a:graphic>
          </wp:inline>
        </w:drawing>
      </w:r>
    </w:p>
    <w:p w14:paraId="09FB7DC0" w14:textId="77777777" w:rsidR="00AD52A7" w:rsidRDefault="00AD52A7" w:rsidP="00431CD8">
      <w:pPr>
        <w:jc w:val="center"/>
      </w:pPr>
    </w:p>
    <w:p w14:paraId="7ED32184" w14:textId="5375752B" w:rsidR="000E6FDF" w:rsidRPr="00C0634A" w:rsidRDefault="002B66E9" w:rsidP="00431CD8">
      <w:pPr>
        <w:jc w:val="center"/>
      </w:pPr>
      <w:r w:rsidRPr="002B66E9">
        <w:rPr>
          <w:noProof/>
        </w:rPr>
        <w:lastRenderedPageBreak/>
        <w:drawing>
          <wp:inline distT="0" distB="0" distL="0" distR="0" wp14:anchorId="5C1CDB98" wp14:editId="5910B159">
            <wp:extent cx="6300470" cy="3661410"/>
            <wp:effectExtent l="0" t="0" r="0" b="0"/>
            <wp:docPr id="108852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20379" name=""/>
                    <pic:cNvPicPr/>
                  </pic:nvPicPr>
                  <pic:blipFill>
                    <a:blip r:embed="rId19"/>
                    <a:stretch>
                      <a:fillRect/>
                    </a:stretch>
                  </pic:blipFill>
                  <pic:spPr>
                    <a:xfrm>
                      <a:off x="0" y="0"/>
                      <a:ext cx="6300470" cy="3661410"/>
                    </a:xfrm>
                    <a:prstGeom prst="rect">
                      <a:avLst/>
                    </a:prstGeom>
                  </pic:spPr>
                </pic:pic>
              </a:graphicData>
            </a:graphic>
          </wp:inline>
        </w:drawing>
      </w:r>
    </w:p>
    <w:p w14:paraId="02B6DA7A" w14:textId="30EB9BB6" w:rsidR="004E1D8C" w:rsidRDefault="004E1D8C" w:rsidP="004E1D8C">
      <w:pPr>
        <w:pStyle w:val="Heading3"/>
      </w:pPr>
      <w:bookmarkStart w:id="39" w:name="_Toc148457108"/>
      <w:r>
        <w:t>Conformity assessment selected</w:t>
      </w:r>
      <w:bookmarkEnd w:id="39"/>
    </w:p>
    <w:p w14:paraId="359414D2" w14:textId="54FBAB45" w:rsidR="004E1D8C" w:rsidRDefault="007D14DC" w:rsidP="004E1D8C">
      <w:r>
        <w:t xml:space="preserve">The regulatory route selected by </w:t>
      </w:r>
      <w:r w:rsidR="002C5ED0">
        <w:t>[</w:t>
      </w:r>
      <w:r w:rsidR="002C5ED0" w:rsidRPr="007D14DC">
        <w:rPr>
          <w:color w:val="FF0000"/>
        </w:rPr>
        <w:t>Manufacturer name</w:t>
      </w:r>
      <w:r w:rsidR="002C5ED0">
        <w:t>]</w:t>
      </w:r>
      <w:r>
        <w:t xml:space="preserve"> is:</w:t>
      </w:r>
    </w:p>
    <w:p w14:paraId="15E0BD29" w14:textId="060FF7A9" w:rsidR="007D14DC" w:rsidRPr="00A543A8" w:rsidRDefault="00A543A8" w:rsidP="00A543A8">
      <w:pPr>
        <w:pStyle w:val="ListParagraph"/>
        <w:numPr>
          <w:ilvl w:val="0"/>
          <w:numId w:val="16"/>
        </w:numPr>
        <w:rPr>
          <w:highlight w:val="yellow"/>
          <w:lang w:val="en-US"/>
        </w:rPr>
      </w:pPr>
      <w:r w:rsidRPr="00A543A8">
        <w:rPr>
          <w:highlight w:val="yellow"/>
          <w:lang w:val="en-US"/>
        </w:rPr>
        <w:t>Describe the Annex(es)/article(s) of the MDR selected</w:t>
      </w:r>
      <w:r w:rsidR="00F44828">
        <w:rPr>
          <w:highlight w:val="yellow"/>
          <w:lang w:val="en-US"/>
        </w:rPr>
        <w:t xml:space="preserve"> as defined in the flowchart above.</w:t>
      </w:r>
    </w:p>
    <w:p w14:paraId="7FCE090D" w14:textId="7A42A975" w:rsidR="00A1526B" w:rsidRDefault="005A6CDC" w:rsidP="005A6CDC">
      <w:pPr>
        <w:pStyle w:val="Heading2"/>
      </w:pPr>
      <w:bookmarkStart w:id="40" w:name="_Ref148430121"/>
      <w:bookmarkStart w:id="41" w:name="_Toc148457109"/>
      <w:r>
        <w:t xml:space="preserve">Applicable </w:t>
      </w:r>
      <w:r w:rsidR="00101BFC">
        <w:t>requirements</w:t>
      </w:r>
      <w:bookmarkEnd w:id="40"/>
      <w:bookmarkEnd w:id="41"/>
    </w:p>
    <w:p w14:paraId="1FCA84D9" w14:textId="0D65FD11" w:rsidR="007D14DC" w:rsidRDefault="007D14DC" w:rsidP="007D14DC">
      <w:pPr>
        <w:pStyle w:val="Heading3"/>
      </w:pPr>
      <w:bookmarkStart w:id="42" w:name="_Toc148457110"/>
      <w:r>
        <w:t>General requirements</w:t>
      </w:r>
      <w:bookmarkEnd w:id="42"/>
    </w:p>
    <w:p w14:paraId="7DED5A92" w14:textId="5F3C1A51" w:rsidR="00AA7B24" w:rsidRDefault="003E261E" w:rsidP="00AA7B24">
      <w:r>
        <w:t>Considering the device type, intended use, classification</w:t>
      </w:r>
      <w:r w:rsidR="00775AD9">
        <w:t xml:space="preserve"> and selected</w:t>
      </w:r>
      <w:r>
        <w:t xml:space="preserve"> conformity assessment procedure, the following</w:t>
      </w:r>
      <w:r w:rsidR="00775AD9">
        <w:t xml:space="preserve"> MDR requirements are applicable.</w:t>
      </w:r>
    </w:p>
    <w:p w14:paraId="68DE4A7C" w14:textId="77777777" w:rsidR="00775AD9" w:rsidRPr="00D11EB6" w:rsidRDefault="00775AD9" w:rsidP="00961561"/>
    <w:p w14:paraId="6361B35F" w14:textId="76C57D1E" w:rsidR="00D11EB6" w:rsidRPr="00D11EB6" w:rsidRDefault="00D11EB6" w:rsidP="00961561">
      <w:pPr>
        <w:pStyle w:val="Caption"/>
        <w:spacing w:after="0"/>
        <w:rPr>
          <w:i w:val="0"/>
          <w:iCs w:val="0"/>
        </w:rPr>
      </w:pPr>
      <w:r w:rsidRPr="00D11EB6">
        <w:rPr>
          <w:i w:val="0"/>
          <w:iCs w:val="0"/>
        </w:rPr>
        <w:t xml:space="preserve">Table </w:t>
      </w:r>
      <w:r w:rsidRPr="00D11EB6">
        <w:rPr>
          <w:i w:val="0"/>
          <w:iCs w:val="0"/>
        </w:rPr>
        <w:fldChar w:fldCharType="begin"/>
      </w:r>
      <w:r w:rsidRPr="00D11EB6">
        <w:rPr>
          <w:i w:val="0"/>
          <w:iCs w:val="0"/>
        </w:rPr>
        <w:instrText xml:space="preserve"> SEQ Table \* ARABIC </w:instrText>
      </w:r>
      <w:r w:rsidRPr="00D11EB6">
        <w:rPr>
          <w:i w:val="0"/>
          <w:iCs w:val="0"/>
        </w:rPr>
        <w:fldChar w:fldCharType="separate"/>
      </w:r>
      <w:r w:rsidR="00780DCB">
        <w:rPr>
          <w:i w:val="0"/>
          <w:iCs w:val="0"/>
          <w:noProof/>
        </w:rPr>
        <w:t>5</w:t>
      </w:r>
      <w:r w:rsidRPr="00D11EB6">
        <w:rPr>
          <w:i w:val="0"/>
          <w:iCs w:val="0"/>
        </w:rPr>
        <w:fldChar w:fldCharType="end"/>
      </w:r>
      <w:r w:rsidRPr="00D11EB6">
        <w:rPr>
          <w:i w:val="0"/>
          <w:iCs w:val="0"/>
        </w:rPr>
        <w:t>: Applicable MDR requirements</w:t>
      </w:r>
    </w:p>
    <w:tbl>
      <w:tblPr>
        <w:tblStyle w:val="TableGrid"/>
        <w:tblW w:w="0" w:type="auto"/>
        <w:tblLook w:val="04A0" w:firstRow="1" w:lastRow="0" w:firstColumn="1" w:lastColumn="0" w:noHBand="0" w:noVBand="1"/>
      </w:tblPr>
      <w:tblGrid>
        <w:gridCol w:w="2235"/>
        <w:gridCol w:w="3827"/>
        <w:gridCol w:w="4000"/>
      </w:tblGrid>
      <w:tr w:rsidR="00D11EB6" w14:paraId="6D60012F" w14:textId="77777777" w:rsidTr="00297BA6">
        <w:trPr>
          <w:tblHeader/>
        </w:trPr>
        <w:tc>
          <w:tcPr>
            <w:tcW w:w="2235" w:type="dxa"/>
            <w:shd w:val="clear" w:color="auto" w:fill="4F81BD" w:themeFill="accent1"/>
            <w:vAlign w:val="center"/>
          </w:tcPr>
          <w:p w14:paraId="48E90727" w14:textId="048ABDCA" w:rsidR="00D11EB6" w:rsidRPr="00D11EB6" w:rsidRDefault="00D11EB6" w:rsidP="00D11EB6">
            <w:pPr>
              <w:jc w:val="left"/>
              <w:rPr>
                <w:b/>
                <w:bCs/>
                <w:color w:val="FFFFFF" w:themeColor="background1"/>
              </w:rPr>
            </w:pPr>
            <w:r>
              <w:rPr>
                <w:b/>
                <w:bCs/>
                <w:color w:val="FFFFFF" w:themeColor="background1"/>
              </w:rPr>
              <w:t>Type of requirements</w:t>
            </w:r>
          </w:p>
        </w:tc>
        <w:tc>
          <w:tcPr>
            <w:tcW w:w="3827" w:type="dxa"/>
            <w:shd w:val="clear" w:color="auto" w:fill="4F81BD" w:themeFill="accent1"/>
            <w:vAlign w:val="center"/>
          </w:tcPr>
          <w:p w14:paraId="2EC44985" w14:textId="5963A97D" w:rsidR="00D11EB6" w:rsidRPr="00D11EB6" w:rsidRDefault="00D11EB6" w:rsidP="00D11EB6">
            <w:pPr>
              <w:jc w:val="left"/>
              <w:rPr>
                <w:b/>
                <w:bCs/>
                <w:color w:val="FFFFFF" w:themeColor="background1"/>
              </w:rPr>
            </w:pPr>
            <w:r>
              <w:rPr>
                <w:b/>
                <w:bCs/>
                <w:color w:val="FFFFFF" w:themeColor="background1"/>
              </w:rPr>
              <w:t>Description</w:t>
            </w:r>
          </w:p>
        </w:tc>
        <w:tc>
          <w:tcPr>
            <w:tcW w:w="4000" w:type="dxa"/>
            <w:shd w:val="clear" w:color="auto" w:fill="4F81BD" w:themeFill="accent1"/>
            <w:vAlign w:val="center"/>
          </w:tcPr>
          <w:p w14:paraId="3B4551CD" w14:textId="459B4DCB" w:rsidR="00D11EB6" w:rsidRPr="00D11EB6" w:rsidRDefault="00D11EB6" w:rsidP="00D11EB6">
            <w:pPr>
              <w:jc w:val="left"/>
              <w:rPr>
                <w:b/>
                <w:bCs/>
                <w:color w:val="FFFFFF" w:themeColor="background1"/>
              </w:rPr>
            </w:pPr>
            <w:r>
              <w:rPr>
                <w:b/>
                <w:bCs/>
                <w:color w:val="FFFFFF" w:themeColor="background1"/>
              </w:rPr>
              <w:t>Comments</w:t>
            </w:r>
            <w:r w:rsidR="00181287">
              <w:rPr>
                <w:b/>
                <w:bCs/>
                <w:color w:val="FFFFFF" w:themeColor="background1"/>
              </w:rPr>
              <w:t xml:space="preserve"> </w:t>
            </w:r>
            <w:r w:rsidR="00555BB9">
              <w:rPr>
                <w:b/>
                <w:bCs/>
                <w:color w:val="FFFFFF" w:themeColor="background1"/>
              </w:rPr>
              <w:t>and</w:t>
            </w:r>
            <w:r w:rsidR="00181287">
              <w:rPr>
                <w:b/>
                <w:bCs/>
                <w:color w:val="FFFFFF" w:themeColor="background1"/>
              </w:rPr>
              <w:t xml:space="preserve"> justifications</w:t>
            </w:r>
          </w:p>
        </w:tc>
      </w:tr>
      <w:tr w:rsidR="00D11EB6" w14:paraId="31686121" w14:textId="77777777" w:rsidTr="00297BA6">
        <w:tc>
          <w:tcPr>
            <w:tcW w:w="2235" w:type="dxa"/>
            <w:vAlign w:val="center"/>
          </w:tcPr>
          <w:p w14:paraId="171A4E81" w14:textId="2991AB67" w:rsidR="00D11EB6" w:rsidRPr="002D4A38" w:rsidRDefault="00B8413C" w:rsidP="00D11EB6">
            <w:pPr>
              <w:jc w:val="left"/>
            </w:pPr>
            <w:r w:rsidRPr="002D4A38">
              <w:t>Notified Body Involvement</w:t>
            </w:r>
          </w:p>
        </w:tc>
        <w:tc>
          <w:tcPr>
            <w:tcW w:w="3827" w:type="dxa"/>
            <w:vAlign w:val="center"/>
          </w:tcPr>
          <w:p w14:paraId="6A5FE7DA" w14:textId="77777777" w:rsidR="00555BB9" w:rsidRDefault="00555BB9" w:rsidP="00555BB9">
            <w:r w:rsidRPr="00846B2B">
              <w:rPr>
                <w:highlight w:val="yellow"/>
              </w:rPr>
              <w:t>Tick the box via “◼”</w:t>
            </w:r>
          </w:p>
          <w:p w14:paraId="7C4E84A3" w14:textId="5B22F384" w:rsidR="00555BB9" w:rsidRDefault="00555BB9" w:rsidP="00555BB9">
            <w:r>
              <w:t xml:space="preserve">◻ </w:t>
            </w:r>
            <w:r w:rsidR="007E6F2C">
              <w:t>Yes</w:t>
            </w:r>
          </w:p>
          <w:p w14:paraId="67426A07" w14:textId="6F42A42D" w:rsidR="00D11EB6" w:rsidRDefault="007E6F2C" w:rsidP="007E6F2C">
            <w:r>
              <w:t>◻ No</w:t>
            </w:r>
          </w:p>
        </w:tc>
        <w:tc>
          <w:tcPr>
            <w:tcW w:w="4000" w:type="dxa"/>
            <w:vAlign w:val="center"/>
          </w:tcPr>
          <w:p w14:paraId="79EA6D19" w14:textId="53B392C9" w:rsidR="00D11EB6" w:rsidRDefault="00D53F60" w:rsidP="00D11EB6">
            <w:pPr>
              <w:jc w:val="left"/>
            </w:pPr>
            <w:r w:rsidRPr="00263D92">
              <w:rPr>
                <w:highlight w:val="yellow"/>
              </w:rPr>
              <w:t xml:space="preserve">Provide sufficient details to explain how the requirement is applicable or not applicable; provide the justification </w:t>
            </w:r>
            <w:r w:rsidR="00596E89" w:rsidRPr="00263D92">
              <w:rPr>
                <w:highlight w:val="yellow"/>
              </w:rPr>
              <w:t>for the transitional provisions from MDD to MDR</w:t>
            </w:r>
            <w:r w:rsidR="00E21BA5" w:rsidRPr="00263D92">
              <w:rPr>
                <w:highlight w:val="yellow"/>
              </w:rPr>
              <w:t xml:space="preserve"> (if applicable); justify </w:t>
            </w:r>
            <w:r w:rsidR="002801B1" w:rsidRPr="00263D92">
              <w:rPr>
                <w:highlight w:val="yellow"/>
              </w:rPr>
              <w:t>when the requirement will enter into force (if applicable)</w:t>
            </w:r>
            <w:r w:rsidR="00E21BA5" w:rsidRPr="00263D92">
              <w:rPr>
                <w:highlight w:val="yellow"/>
              </w:rPr>
              <w:t xml:space="preserve">; </w:t>
            </w:r>
            <w:r w:rsidR="00263D92" w:rsidRPr="00263D92">
              <w:rPr>
                <w:highlight w:val="yellow"/>
              </w:rPr>
              <w:t>etc.</w:t>
            </w:r>
          </w:p>
        </w:tc>
      </w:tr>
      <w:tr w:rsidR="00B8413C" w14:paraId="26CAB351" w14:textId="77777777" w:rsidTr="00297BA6">
        <w:tc>
          <w:tcPr>
            <w:tcW w:w="2235" w:type="dxa"/>
            <w:vAlign w:val="center"/>
          </w:tcPr>
          <w:p w14:paraId="6F397B1B" w14:textId="785CC1BF" w:rsidR="00B8413C" w:rsidRPr="002D4A38" w:rsidRDefault="00B8413C" w:rsidP="00B8413C">
            <w:pPr>
              <w:jc w:val="left"/>
            </w:pPr>
            <w:r w:rsidRPr="002D4A38">
              <w:t>Quality management system</w:t>
            </w:r>
          </w:p>
        </w:tc>
        <w:tc>
          <w:tcPr>
            <w:tcW w:w="3827" w:type="dxa"/>
            <w:vAlign w:val="center"/>
          </w:tcPr>
          <w:p w14:paraId="29EA6C1A" w14:textId="2E9FF6FC" w:rsidR="007E6F2C" w:rsidRDefault="007E6F2C" w:rsidP="007E6F2C">
            <w:r>
              <w:t xml:space="preserve">◻ </w:t>
            </w:r>
            <w:r w:rsidR="00C77033">
              <w:t>Yes, per</w:t>
            </w:r>
            <w:r>
              <w:t xml:space="preserve"> </w:t>
            </w:r>
            <w:r w:rsidR="00C77033">
              <w:t xml:space="preserve">MDR </w:t>
            </w:r>
            <w:r>
              <w:t>Article 10(9)</w:t>
            </w:r>
          </w:p>
          <w:p w14:paraId="6EF104B6" w14:textId="311A568E" w:rsidR="00B8413C" w:rsidRDefault="007E6F2C" w:rsidP="007E6F2C">
            <w:pPr>
              <w:jc w:val="left"/>
            </w:pPr>
            <w:r>
              <w:t xml:space="preserve">◻ </w:t>
            </w:r>
            <w:r w:rsidR="00C77033">
              <w:t xml:space="preserve">Yes, per </w:t>
            </w:r>
            <w:r>
              <w:t>EN ISO 13485</w:t>
            </w:r>
          </w:p>
          <w:p w14:paraId="228A5BCD" w14:textId="60A5DBE1" w:rsidR="007539D2" w:rsidRDefault="007539D2" w:rsidP="007539D2">
            <w:r>
              <w:t>◻ Other</w:t>
            </w:r>
          </w:p>
          <w:p w14:paraId="0B34B146" w14:textId="03D53001" w:rsidR="007539D2" w:rsidRDefault="007539D2" w:rsidP="007539D2">
            <w:r>
              <w:t>◻ N/A</w:t>
            </w:r>
          </w:p>
        </w:tc>
        <w:tc>
          <w:tcPr>
            <w:tcW w:w="4000" w:type="dxa"/>
            <w:vAlign w:val="center"/>
          </w:tcPr>
          <w:p w14:paraId="7F8184A5" w14:textId="77777777" w:rsidR="00B8413C" w:rsidRDefault="00B8413C" w:rsidP="00B8413C">
            <w:pPr>
              <w:jc w:val="left"/>
            </w:pPr>
          </w:p>
        </w:tc>
      </w:tr>
      <w:tr w:rsidR="00B8413C" w14:paraId="6C646CCC" w14:textId="77777777" w:rsidTr="00297BA6">
        <w:tc>
          <w:tcPr>
            <w:tcW w:w="2235" w:type="dxa"/>
            <w:vAlign w:val="center"/>
          </w:tcPr>
          <w:p w14:paraId="3F6C7171" w14:textId="048EF827" w:rsidR="00B8413C" w:rsidRPr="002D4A38" w:rsidRDefault="00B8413C" w:rsidP="00B8413C">
            <w:pPr>
              <w:jc w:val="left"/>
            </w:pPr>
            <w:r w:rsidRPr="002D4A38">
              <w:t>Authorized representative</w:t>
            </w:r>
          </w:p>
        </w:tc>
        <w:tc>
          <w:tcPr>
            <w:tcW w:w="3827" w:type="dxa"/>
            <w:vAlign w:val="center"/>
          </w:tcPr>
          <w:p w14:paraId="15FB7D3C" w14:textId="718D427C" w:rsidR="00F131AE" w:rsidRDefault="00F131AE" w:rsidP="00F131AE">
            <w:r>
              <w:t>◻ Yes</w:t>
            </w:r>
            <w:r w:rsidR="008578D3">
              <w:t>, per Articles 11 and 12</w:t>
            </w:r>
          </w:p>
          <w:p w14:paraId="3E48DB6F" w14:textId="2D875122" w:rsidR="00B8413C" w:rsidRDefault="00F131AE" w:rsidP="00F131AE">
            <w:pPr>
              <w:jc w:val="left"/>
            </w:pPr>
            <w:r>
              <w:t>◻ N</w:t>
            </w:r>
            <w:r w:rsidR="00EE611C">
              <w:t>/A</w:t>
            </w:r>
          </w:p>
        </w:tc>
        <w:tc>
          <w:tcPr>
            <w:tcW w:w="4000" w:type="dxa"/>
            <w:vAlign w:val="center"/>
          </w:tcPr>
          <w:p w14:paraId="0C1713EF" w14:textId="77777777" w:rsidR="00B8413C" w:rsidRDefault="00B8413C" w:rsidP="00B8413C">
            <w:pPr>
              <w:jc w:val="left"/>
            </w:pPr>
          </w:p>
        </w:tc>
      </w:tr>
      <w:tr w:rsidR="00B8413C" w14:paraId="0E5DF83E" w14:textId="77777777" w:rsidTr="00297BA6">
        <w:tc>
          <w:tcPr>
            <w:tcW w:w="2235" w:type="dxa"/>
            <w:vAlign w:val="center"/>
          </w:tcPr>
          <w:p w14:paraId="3847E19A" w14:textId="2BE156E1" w:rsidR="00B8413C" w:rsidRPr="002D4A38" w:rsidRDefault="00B8413C" w:rsidP="00B8413C">
            <w:pPr>
              <w:jc w:val="left"/>
            </w:pPr>
            <w:r w:rsidRPr="002D4A38">
              <w:t>P</w:t>
            </w:r>
            <w:r w:rsidR="00E73A77">
              <w:t xml:space="preserve">erson </w:t>
            </w:r>
            <w:r w:rsidRPr="002D4A38">
              <w:t>R</w:t>
            </w:r>
            <w:r w:rsidR="00E73A77">
              <w:t xml:space="preserve">esponsible </w:t>
            </w:r>
            <w:r w:rsidR="009E17A5">
              <w:t xml:space="preserve">for </w:t>
            </w:r>
            <w:r w:rsidRPr="002D4A38">
              <w:t>R</w:t>
            </w:r>
            <w:r w:rsidR="009E17A5">
              <w:t xml:space="preserve">egulatory </w:t>
            </w:r>
            <w:r w:rsidRPr="002D4A38">
              <w:t>C</w:t>
            </w:r>
            <w:r w:rsidR="009E17A5">
              <w:t>ompliance</w:t>
            </w:r>
          </w:p>
        </w:tc>
        <w:tc>
          <w:tcPr>
            <w:tcW w:w="3827" w:type="dxa"/>
            <w:vAlign w:val="center"/>
          </w:tcPr>
          <w:p w14:paraId="371C4335" w14:textId="5B6591C3" w:rsidR="00F131AE" w:rsidRDefault="00F131AE" w:rsidP="00F131AE">
            <w:r>
              <w:t>◻ Yes</w:t>
            </w:r>
            <w:r w:rsidR="008578D3">
              <w:t xml:space="preserve">, per Article </w:t>
            </w:r>
            <w:r w:rsidR="00E80229">
              <w:t>15</w:t>
            </w:r>
          </w:p>
          <w:p w14:paraId="38A6AA69" w14:textId="11D0AAEB" w:rsidR="00B8413C" w:rsidRDefault="00F131AE" w:rsidP="00F131AE">
            <w:pPr>
              <w:jc w:val="left"/>
            </w:pPr>
            <w:r>
              <w:t xml:space="preserve">◻ </w:t>
            </w:r>
            <w:r w:rsidR="005067B7">
              <w:t>N/A</w:t>
            </w:r>
          </w:p>
        </w:tc>
        <w:tc>
          <w:tcPr>
            <w:tcW w:w="4000" w:type="dxa"/>
            <w:vAlign w:val="center"/>
          </w:tcPr>
          <w:p w14:paraId="6CE45356" w14:textId="77777777" w:rsidR="00B8413C" w:rsidRDefault="00B8413C" w:rsidP="00B8413C">
            <w:pPr>
              <w:jc w:val="left"/>
            </w:pPr>
          </w:p>
        </w:tc>
      </w:tr>
      <w:tr w:rsidR="00240A0B" w14:paraId="5AF0CE04" w14:textId="77777777" w:rsidTr="00297BA6">
        <w:tc>
          <w:tcPr>
            <w:tcW w:w="2235" w:type="dxa"/>
            <w:vAlign w:val="center"/>
          </w:tcPr>
          <w:p w14:paraId="242FE272" w14:textId="32FFB999" w:rsidR="00240A0B" w:rsidRPr="002D4A38" w:rsidRDefault="00240A0B" w:rsidP="00240A0B">
            <w:pPr>
              <w:jc w:val="left"/>
            </w:pPr>
            <w:r w:rsidRPr="002D4A38">
              <w:t xml:space="preserve">Declaration of </w:t>
            </w:r>
            <w:r w:rsidRPr="002D4A38">
              <w:lastRenderedPageBreak/>
              <w:t>conformity</w:t>
            </w:r>
          </w:p>
        </w:tc>
        <w:tc>
          <w:tcPr>
            <w:tcW w:w="3827" w:type="dxa"/>
            <w:vAlign w:val="center"/>
          </w:tcPr>
          <w:p w14:paraId="118C5C74" w14:textId="16ED1076" w:rsidR="00240A0B" w:rsidRDefault="00240A0B" w:rsidP="00240A0B">
            <w:r>
              <w:lastRenderedPageBreak/>
              <w:t xml:space="preserve">◻ </w:t>
            </w:r>
            <w:r w:rsidR="00C529BF">
              <w:t xml:space="preserve">Yes, </w:t>
            </w:r>
            <w:r w:rsidR="00967241">
              <w:t xml:space="preserve">per </w:t>
            </w:r>
            <w:r w:rsidR="007D2448">
              <w:t xml:space="preserve">Article 19 and </w:t>
            </w:r>
            <w:r w:rsidR="00967241">
              <w:t>Annex I</w:t>
            </w:r>
            <w:r w:rsidR="00BD692F">
              <w:t>V</w:t>
            </w:r>
          </w:p>
          <w:p w14:paraId="76F4CD94" w14:textId="167E56B8" w:rsidR="00240A0B" w:rsidRDefault="00240A0B" w:rsidP="00240A0B">
            <w:pPr>
              <w:jc w:val="left"/>
            </w:pPr>
            <w:r>
              <w:lastRenderedPageBreak/>
              <w:t xml:space="preserve">◻ </w:t>
            </w:r>
            <w:r w:rsidR="00C529BF">
              <w:t xml:space="preserve">Yes, </w:t>
            </w:r>
            <w:r w:rsidR="00967241">
              <w:t>per Annex XIII</w:t>
            </w:r>
          </w:p>
          <w:p w14:paraId="5C0EE849" w14:textId="287FA279" w:rsidR="0042475E" w:rsidRDefault="0042475E" w:rsidP="00240A0B">
            <w:pPr>
              <w:jc w:val="left"/>
            </w:pPr>
            <w:r>
              <w:t>◻ N/A</w:t>
            </w:r>
          </w:p>
        </w:tc>
        <w:tc>
          <w:tcPr>
            <w:tcW w:w="4000" w:type="dxa"/>
            <w:vAlign w:val="center"/>
          </w:tcPr>
          <w:p w14:paraId="42F20D30" w14:textId="77777777" w:rsidR="00240A0B" w:rsidRDefault="00240A0B" w:rsidP="00240A0B">
            <w:pPr>
              <w:jc w:val="left"/>
            </w:pPr>
          </w:p>
        </w:tc>
      </w:tr>
      <w:tr w:rsidR="0042475E" w14:paraId="2BA3F0B9" w14:textId="77777777" w:rsidTr="00297BA6">
        <w:tc>
          <w:tcPr>
            <w:tcW w:w="2235" w:type="dxa"/>
            <w:vAlign w:val="center"/>
          </w:tcPr>
          <w:p w14:paraId="1D533D4F" w14:textId="70774EA0" w:rsidR="0042475E" w:rsidRPr="002D4A38" w:rsidRDefault="0042475E" w:rsidP="00240A0B">
            <w:pPr>
              <w:jc w:val="left"/>
            </w:pPr>
            <w:r>
              <w:t>CE marking</w:t>
            </w:r>
          </w:p>
        </w:tc>
        <w:tc>
          <w:tcPr>
            <w:tcW w:w="3827" w:type="dxa"/>
            <w:vAlign w:val="center"/>
          </w:tcPr>
          <w:p w14:paraId="26146A7D" w14:textId="793A219F" w:rsidR="0042475E" w:rsidRDefault="0042475E" w:rsidP="0042475E">
            <w:r>
              <w:t>◻ Yes</w:t>
            </w:r>
            <w:r w:rsidR="00BD692F">
              <w:t>, per Article</w:t>
            </w:r>
            <w:r w:rsidR="007D2448">
              <w:t xml:space="preserve"> 20 and Annex V</w:t>
            </w:r>
          </w:p>
          <w:p w14:paraId="1D63B174" w14:textId="7845FDFF" w:rsidR="0042475E" w:rsidRDefault="0042475E" w:rsidP="0042475E">
            <w:r>
              <w:t>◻ N/A</w:t>
            </w:r>
          </w:p>
        </w:tc>
        <w:tc>
          <w:tcPr>
            <w:tcW w:w="4000" w:type="dxa"/>
            <w:vAlign w:val="center"/>
          </w:tcPr>
          <w:p w14:paraId="149B79FF" w14:textId="77777777" w:rsidR="0042475E" w:rsidRDefault="0042475E" w:rsidP="00240A0B">
            <w:pPr>
              <w:jc w:val="left"/>
            </w:pPr>
          </w:p>
        </w:tc>
      </w:tr>
      <w:tr w:rsidR="00240A0B" w14:paraId="1A3E89C0" w14:textId="77777777" w:rsidTr="00297BA6">
        <w:tc>
          <w:tcPr>
            <w:tcW w:w="2235" w:type="dxa"/>
            <w:vAlign w:val="center"/>
          </w:tcPr>
          <w:p w14:paraId="62C8A772" w14:textId="02BB7FBD" w:rsidR="00240A0B" w:rsidRPr="002D4A38" w:rsidRDefault="00240A0B" w:rsidP="00240A0B">
            <w:pPr>
              <w:jc w:val="left"/>
            </w:pPr>
            <w:r w:rsidRPr="002D4A38">
              <w:t>Technical documentation</w:t>
            </w:r>
          </w:p>
        </w:tc>
        <w:tc>
          <w:tcPr>
            <w:tcW w:w="3827" w:type="dxa"/>
            <w:vAlign w:val="center"/>
          </w:tcPr>
          <w:p w14:paraId="4402FB63" w14:textId="5BE541C5" w:rsidR="0042475E" w:rsidRDefault="0042475E" w:rsidP="0042475E">
            <w:r>
              <w:t xml:space="preserve">◻ </w:t>
            </w:r>
            <w:r w:rsidR="003C580D">
              <w:t xml:space="preserve">Yes, </w:t>
            </w:r>
            <w:r>
              <w:t>per Annexes II and III</w:t>
            </w:r>
          </w:p>
          <w:p w14:paraId="2F8FA68B" w14:textId="632D0BF8" w:rsidR="0042475E" w:rsidRDefault="0042475E" w:rsidP="0042475E">
            <w:r>
              <w:t xml:space="preserve">◻ </w:t>
            </w:r>
            <w:r w:rsidR="003C580D">
              <w:t xml:space="preserve">Yes, </w:t>
            </w:r>
            <w:r>
              <w:t>per Annex XIII</w:t>
            </w:r>
          </w:p>
          <w:p w14:paraId="46CCAF9C" w14:textId="675BED12" w:rsidR="00240A0B" w:rsidRDefault="0042475E" w:rsidP="0042475E">
            <w:pPr>
              <w:jc w:val="left"/>
            </w:pPr>
            <w:r>
              <w:t>◻ N/A</w:t>
            </w:r>
          </w:p>
        </w:tc>
        <w:tc>
          <w:tcPr>
            <w:tcW w:w="4000" w:type="dxa"/>
            <w:vAlign w:val="center"/>
          </w:tcPr>
          <w:p w14:paraId="3579BC6E" w14:textId="77777777" w:rsidR="00240A0B" w:rsidRDefault="00240A0B" w:rsidP="00240A0B">
            <w:pPr>
              <w:jc w:val="left"/>
            </w:pPr>
          </w:p>
        </w:tc>
      </w:tr>
      <w:tr w:rsidR="009D238A" w14:paraId="48CBDB1C" w14:textId="77777777" w:rsidTr="00297BA6">
        <w:tc>
          <w:tcPr>
            <w:tcW w:w="2235" w:type="dxa"/>
            <w:vAlign w:val="center"/>
          </w:tcPr>
          <w:p w14:paraId="2EA455E0" w14:textId="10641078" w:rsidR="009D238A" w:rsidRPr="002D4A38" w:rsidRDefault="009D238A" w:rsidP="00240A0B">
            <w:pPr>
              <w:jc w:val="left"/>
            </w:pPr>
            <w:r>
              <w:t>Notified Body Opinion</w:t>
            </w:r>
          </w:p>
        </w:tc>
        <w:tc>
          <w:tcPr>
            <w:tcW w:w="3827" w:type="dxa"/>
            <w:vAlign w:val="center"/>
          </w:tcPr>
          <w:p w14:paraId="69D89313" w14:textId="61403F40" w:rsidR="009D238A" w:rsidRDefault="009D238A" w:rsidP="009D238A">
            <w:r>
              <w:t>◻ Yes, per Article 117</w:t>
            </w:r>
          </w:p>
          <w:p w14:paraId="717F3D27" w14:textId="40ADC1C3" w:rsidR="009D238A" w:rsidRDefault="009D238A" w:rsidP="0042475E">
            <w:r>
              <w:t>◻ N/A</w:t>
            </w:r>
          </w:p>
        </w:tc>
        <w:tc>
          <w:tcPr>
            <w:tcW w:w="4000" w:type="dxa"/>
            <w:vAlign w:val="center"/>
          </w:tcPr>
          <w:p w14:paraId="3959E5A6" w14:textId="77777777" w:rsidR="009D238A" w:rsidRDefault="009D238A" w:rsidP="00240A0B">
            <w:pPr>
              <w:jc w:val="left"/>
            </w:pPr>
          </w:p>
        </w:tc>
      </w:tr>
      <w:tr w:rsidR="00240A0B" w14:paraId="555EBD1B" w14:textId="77777777" w:rsidTr="00297BA6">
        <w:tc>
          <w:tcPr>
            <w:tcW w:w="2235" w:type="dxa"/>
            <w:vAlign w:val="center"/>
          </w:tcPr>
          <w:p w14:paraId="113134D6" w14:textId="39759578" w:rsidR="00240A0B" w:rsidRPr="002D4A38" w:rsidRDefault="00240A0B" w:rsidP="00240A0B">
            <w:pPr>
              <w:jc w:val="left"/>
            </w:pPr>
            <w:r w:rsidRPr="002D4A38">
              <w:t>Consultation procedure with EMA or CA</w:t>
            </w:r>
          </w:p>
        </w:tc>
        <w:tc>
          <w:tcPr>
            <w:tcW w:w="3827" w:type="dxa"/>
            <w:vAlign w:val="center"/>
          </w:tcPr>
          <w:p w14:paraId="126D31D1" w14:textId="021F9FC6" w:rsidR="00670B9C" w:rsidRDefault="00670B9C" w:rsidP="00670B9C">
            <w:r>
              <w:t>◻ Yes</w:t>
            </w:r>
            <w:r w:rsidR="00F62EC7">
              <w:t>, the device includes a medicinal substance</w:t>
            </w:r>
            <w:r w:rsidR="00433E57">
              <w:t xml:space="preserve"> (Annex IX 5.2)</w:t>
            </w:r>
          </w:p>
          <w:p w14:paraId="094E66AF" w14:textId="4715E8EE" w:rsidR="005872FE" w:rsidRDefault="005872FE" w:rsidP="00670B9C">
            <w:r>
              <w:t xml:space="preserve">◻ Yes, the device includes </w:t>
            </w:r>
            <w:r w:rsidR="0044644C" w:rsidRPr="0044644C">
              <w:t>tissues or cells of human</w:t>
            </w:r>
            <w:r w:rsidR="0044644C">
              <w:t>/animal</w:t>
            </w:r>
            <w:r w:rsidR="0044644C" w:rsidRPr="0044644C">
              <w:t xml:space="preserve"> origin</w:t>
            </w:r>
            <w:r w:rsidR="0044644C">
              <w:t xml:space="preserve"> and their derivatives (Annex IX 5.3)</w:t>
            </w:r>
          </w:p>
          <w:p w14:paraId="36FC79EA" w14:textId="6A81B8B1" w:rsidR="00297BA6" w:rsidRDefault="00297BA6" w:rsidP="00670B9C">
            <w:r>
              <w:t xml:space="preserve">◻ Yes, </w:t>
            </w:r>
            <w:r w:rsidR="0077382F">
              <w:t xml:space="preserve">the device includes </w:t>
            </w:r>
            <w:r w:rsidR="0077382F" w:rsidRPr="0077382F">
              <w:t>substances absorbed by or locally dispersed in the human body (Annex IX 5.4)</w:t>
            </w:r>
          </w:p>
          <w:p w14:paraId="27C4C265" w14:textId="021CD002" w:rsidR="00240A0B" w:rsidRDefault="00670B9C" w:rsidP="00670B9C">
            <w:pPr>
              <w:jc w:val="left"/>
            </w:pPr>
            <w:r>
              <w:t>◻ N/A</w:t>
            </w:r>
          </w:p>
        </w:tc>
        <w:tc>
          <w:tcPr>
            <w:tcW w:w="4000" w:type="dxa"/>
            <w:vAlign w:val="center"/>
          </w:tcPr>
          <w:p w14:paraId="42626F90" w14:textId="77777777" w:rsidR="00240A0B" w:rsidRDefault="00240A0B" w:rsidP="00240A0B">
            <w:pPr>
              <w:jc w:val="left"/>
            </w:pPr>
          </w:p>
        </w:tc>
      </w:tr>
      <w:tr w:rsidR="00240A0B" w14:paraId="0919570B" w14:textId="77777777" w:rsidTr="00297BA6">
        <w:tc>
          <w:tcPr>
            <w:tcW w:w="2235" w:type="dxa"/>
            <w:vAlign w:val="center"/>
          </w:tcPr>
          <w:p w14:paraId="0C62EB02" w14:textId="597F6897" w:rsidR="00240A0B" w:rsidRPr="002D4A38" w:rsidRDefault="00240A0B" w:rsidP="00240A0B">
            <w:pPr>
              <w:jc w:val="left"/>
            </w:pPr>
            <w:r w:rsidRPr="002D4A38">
              <w:t>Clinical evaluation</w:t>
            </w:r>
          </w:p>
        </w:tc>
        <w:tc>
          <w:tcPr>
            <w:tcW w:w="3827" w:type="dxa"/>
            <w:vAlign w:val="center"/>
          </w:tcPr>
          <w:p w14:paraId="7C947EE5" w14:textId="64EA2B50" w:rsidR="00DE3E92" w:rsidRDefault="00DE3E92" w:rsidP="00DE3E92">
            <w:r>
              <w:t>◻ Yes, per Article 61 and Annex XIV</w:t>
            </w:r>
          </w:p>
          <w:p w14:paraId="49DE7229" w14:textId="67D50EDA" w:rsidR="00240A0B" w:rsidRDefault="00DE3E92" w:rsidP="00DE3E92">
            <w:pPr>
              <w:jc w:val="left"/>
            </w:pPr>
            <w:r>
              <w:t>◻ N/A</w:t>
            </w:r>
          </w:p>
        </w:tc>
        <w:tc>
          <w:tcPr>
            <w:tcW w:w="4000" w:type="dxa"/>
            <w:vAlign w:val="center"/>
          </w:tcPr>
          <w:p w14:paraId="75CE5ED7" w14:textId="77777777" w:rsidR="00240A0B" w:rsidRDefault="00240A0B" w:rsidP="00240A0B">
            <w:pPr>
              <w:jc w:val="left"/>
            </w:pPr>
          </w:p>
        </w:tc>
      </w:tr>
      <w:tr w:rsidR="00240A0B" w14:paraId="06678468" w14:textId="77777777" w:rsidTr="00297BA6">
        <w:tc>
          <w:tcPr>
            <w:tcW w:w="2235" w:type="dxa"/>
            <w:vAlign w:val="center"/>
          </w:tcPr>
          <w:p w14:paraId="4BBA532A" w14:textId="489ABCBD" w:rsidR="00240A0B" w:rsidRPr="002D4A38" w:rsidRDefault="000F71C4" w:rsidP="00240A0B">
            <w:pPr>
              <w:jc w:val="left"/>
            </w:pPr>
            <w:r>
              <w:t>Summary of safety and clinica performance</w:t>
            </w:r>
          </w:p>
        </w:tc>
        <w:tc>
          <w:tcPr>
            <w:tcW w:w="3827" w:type="dxa"/>
            <w:vAlign w:val="center"/>
          </w:tcPr>
          <w:p w14:paraId="3A62C50F" w14:textId="12D83899" w:rsidR="00DE3E92" w:rsidRDefault="00DE3E92" w:rsidP="00DE3E92">
            <w:r>
              <w:t xml:space="preserve">◻ Yes, per Article </w:t>
            </w:r>
            <w:r w:rsidR="007E039C">
              <w:t>32</w:t>
            </w:r>
          </w:p>
          <w:p w14:paraId="46154CFF" w14:textId="7A2EA45E" w:rsidR="00240A0B" w:rsidRDefault="00DE3E92" w:rsidP="00DE3E92">
            <w:pPr>
              <w:jc w:val="left"/>
            </w:pPr>
            <w:r>
              <w:t>◻ N/A</w:t>
            </w:r>
          </w:p>
        </w:tc>
        <w:tc>
          <w:tcPr>
            <w:tcW w:w="4000" w:type="dxa"/>
            <w:vAlign w:val="center"/>
          </w:tcPr>
          <w:p w14:paraId="3A37B6AB" w14:textId="77777777" w:rsidR="00240A0B" w:rsidRDefault="00240A0B" w:rsidP="00240A0B">
            <w:pPr>
              <w:jc w:val="left"/>
            </w:pPr>
          </w:p>
        </w:tc>
      </w:tr>
      <w:tr w:rsidR="00240A0B" w14:paraId="20031BCF" w14:textId="77777777" w:rsidTr="00297BA6">
        <w:tc>
          <w:tcPr>
            <w:tcW w:w="2235" w:type="dxa"/>
            <w:vAlign w:val="center"/>
          </w:tcPr>
          <w:p w14:paraId="2C2CFB11" w14:textId="5F4F0C64" w:rsidR="00240A0B" w:rsidRPr="002D4A38" w:rsidRDefault="00240A0B" w:rsidP="00240A0B">
            <w:pPr>
              <w:jc w:val="left"/>
            </w:pPr>
            <w:r w:rsidRPr="002D4A38">
              <w:t>Expert panel review</w:t>
            </w:r>
          </w:p>
        </w:tc>
        <w:tc>
          <w:tcPr>
            <w:tcW w:w="3827" w:type="dxa"/>
            <w:vAlign w:val="center"/>
          </w:tcPr>
          <w:p w14:paraId="0EA52EAC" w14:textId="72A1D95E" w:rsidR="00670B9C" w:rsidRDefault="00670B9C" w:rsidP="00670B9C">
            <w:r>
              <w:t>◻ Yes</w:t>
            </w:r>
            <w:r w:rsidR="00354D8B">
              <w:t>, per Article 54</w:t>
            </w:r>
          </w:p>
          <w:p w14:paraId="3EF66C4A" w14:textId="31EB3D6E" w:rsidR="00670B9C" w:rsidRDefault="00670B9C" w:rsidP="00670B9C">
            <w:r>
              <w:t xml:space="preserve">◻ No, </w:t>
            </w:r>
            <w:r w:rsidR="008049B0">
              <w:t>within exemption</w:t>
            </w:r>
            <w:r w:rsidR="00F62EC7">
              <w:t>s</w:t>
            </w:r>
            <w:r w:rsidR="008049B0">
              <w:t xml:space="preserve"> from Article 54.2</w:t>
            </w:r>
          </w:p>
          <w:p w14:paraId="54A88C3F" w14:textId="4A3B125A" w:rsidR="00240A0B" w:rsidRDefault="00670B9C" w:rsidP="00670B9C">
            <w:pPr>
              <w:jc w:val="left"/>
            </w:pPr>
            <w:r>
              <w:t>◻ N/A</w:t>
            </w:r>
          </w:p>
        </w:tc>
        <w:tc>
          <w:tcPr>
            <w:tcW w:w="4000" w:type="dxa"/>
            <w:vAlign w:val="center"/>
          </w:tcPr>
          <w:p w14:paraId="61193B41" w14:textId="77777777" w:rsidR="00240A0B" w:rsidRDefault="00240A0B" w:rsidP="00240A0B">
            <w:pPr>
              <w:jc w:val="left"/>
            </w:pPr>
          </w:p>
        </w:tc>
      </w:tr>
      <w:tr w:rsidR="00240A0B" w14:paraId="72BF4BAB" w14:textId="77777777" w:rsidTr="00297BA6">
        <w:tc>
          <w:tcPr>
            <w:tcW w:w="2235" w:type="dxa"/>
            <w:vAlign w:val="center"/>
          </w:tcPr>
          <w:p w14:paraId="72E73EEA" w14:textId="377F0D49" w:rsidR="00240A0B" w:rsidRPr="002D4A38" w:rsidRDefault="00240A0B" w:rsidP="00240A0B">
            <w:pPr>
              <w:jc w:val="left"/>
            </w:pPr>
            <w:r w:rsidRPr="002D4A38">
              <w:t>Implant card</w:t>
            </w:r>
          </w:p>
        </w:tc>
        <w:tc>
          <w:tcPr>
            <w:tcW w:w="3827" w:type="dxa"/>
            <w:vAlign w:val="center"/>
          </w:tcPr>
          <w:p w14:paraId="6B1BF3D7" w14:textId="34966A88" w:rsidR="00240A0B" w:rsidRDefault="00631CDC" w:rsidP="00240A0B">
            <w:pPr>
              <w:jc w:val="left"/>
            </w:pPr>
            <w:r>
              <w:t>◻ Yes, per Article</w:t>
            </w:r>
            <w:r w:rsidR="008E0065">
              <w:t xml:space="preserve"> 18</w:t>
            </w:r>
          </w:p>
          <w:p w14:paraId="2C657AAA" w14:textId="6797FDB7" w:rsidR="00631CDC" w:rsidRDefault="00631CDC" w:rsidP="00240A0B">
            <w:pPr>
              <w:jc w:val="left"/>
            </w:pPr>
            <w:r>
              <w:t>◻ N/A</w:t>
            </w:r>
          </w:p>
        </w:tc>
        <w:tc>
          <w:tcPr>
            <w:tcW w:w="4000" w:type="dxa"/>
            <w:vAlign w:val="center"/>
          </w:tcPr>
          <w:p w14:paraId="4C1F95B6" w14:textId="77777777" w:rsidR="00240A0B" w:rsidRDefault="00240A0B" w:rsidP="00240A0B">
            <w:pPr>
              <w:jc w:val="left"/>
            </w:pPr>
          </w:p>
        </w:tc>
      </w:tr>
      <w:tr w:rsidR="00240A0B" w14:paraId="040BFC55" w14:textId="77777777" w:rsidTr="00297BA6">
        <w:tc>
          <w:tcPr>
            <w:tcW w:w="2235" w:type="dxa"/>
            <w:vAlign w:val="center"/>
          </w:tcPr>
          <w:p w14:paraId="66812494" w14:textId="0313873A" w:rsidR="00240A0B" w:rsidRPr="00A4620F" w:rsidRDefault="00A4620F" w:rsidP="00240A0B">
            <w:pPr>
              <w:jc w:val="left"/>
              <w:rPr>
                <w:lang w:val="fr-FR"/>
              </w:rPr>
            </w:pPr>
            <w:r w:rsidRPr="00A4620F">
              <w:rPr>
                <w:lang w:val="fr-FR"/>
              </w:rPr>
              <w:t>Post-market surveillance (</w:t>
            </w:r>
            <w:r w:rsidR="00240A0B" w:rsidRPr="00A4620F">
              <w:rPr>
                <w:lang w:val="fr-FR"/>
              </w:rPr>
              <w:t>PMS</w:t>
            </w:r>
            <w:r w:rsidRPr="00A4620F">
              <w:rPr>
                <w:lang w:val="fr-FR"/>
              </w:rPr>
              <w:t>)</w:t>
            </w:r>
            <w:r w:rsidR="00240A0B" w:rsidRPr="00A4620F">
              <w:rPr>
                <w:lang w:val="fr-FR"/>
              </w:rPr>
              <w:t xml:space="preserve"> activities</w:t>
            </w:r>
          </w:p>
        </w:tc>
        <w:tc>
          <w:tcPr>
            <w:tcW w:w="3827" w:type="dxa"/>
            <w:vAlign w:val="center"/>
          </w:tcPr>
          <w:p w14:paraId="75BA414B" w14:textId="0F6D51B3" w:rsidR="008E0065" w:rsidRDefault="008E0065" w:rsidP="008E0065">
            <w:pPr>
              <w:jc w:val="left"/>
            </w:pPr>
            <w:r>
              <w:t>◻ Yes, per Articles 83 to 86 and Annex III</w:t>
            </w:r>
          </w:p>
          <w:p w14:paraId="03652400" w14:textId="0567CD6A" w:rsidR="00240A0B" w:rsidRDefault="008E0065" w:rsidP="008E0065">
            <w:pPr>
              <w:jc w:val="left"/>
            </w:pPr>
            <w:r>
              <w:t>◻ N/A</w:t>
            </w:r>
          </w:p>
        </w:tc>
        <w:tc>
          <w:tcPr>
            <w:tcW w:w="4000" w:type="dxa"/>
            <w:vAlign w:val="center"/>
          </w:tcPr>
          <w:p w14:paraId="5A22CC7F" w14:textId="77777777" w:rsidR="00240A0B" w:rsidRDefault="00240A0B" w:rsidP="00240A0B">
            <w:pPr>
              <w:jc w:val="left"/>
            </w:pPr>
          </w:p>
        </w:tc>
      </w:tr>
      <w:tr w:rsidR="00240A0B" w14:paraId="43F50391" w14:textId="77777777" w:rsidTr="00297BA6">
        <w:tc>
          <w:tcPr>
            <w:tcW w:w="2235" w:type="dxa"/>
            <w:vAlign w:val="center"/>
          </w:tcPr>
          <w:p w14:paraId="324E9CF5" w14:textId="13421447" w:rsidR="00240A0B" w:rsidRPr="002D4A38" w:rsidRDefault="00A4620F" w:rsidP="00240A0B">
            <w:pPr>
              <w:jc w:val="left"/>
            </w:pPr>
            <w:r>
              <w:t>Post-market clinical follow-up (</w:t>
            </w:r>
            <w:r w:rsidR="00240A0B" w:rsidRPr="002D4A38">
              <w:t>PMCF</w:t>
            </w:r>
            <w:r>
              <w:t>)</w:t>
            </w:r>
            <w:r w:rsidR="00240A0B" w:rsidRPr="002D4A38">
              <w:t xml:space="preserve"> activities</w:t>
            </w:r>
          </w:p>
        </w:tc>
        <w:tc>
          <w:tcPr>
            <w:tcW w:w="3827" w:type="dxa"/>
            <w:vAlign w:val="center"/>
          </w:tcPr>
          <w:p w14:paraId="2C823544" w14:textId="5268F574" w:rsidR="006A3FA0" w:rsidRDefault="006A3FA0" w:rsidP="006A3FA0">
            <w:pPr>
              <w:jc w:val="left"/>
            </w:pPr>
            <w:r>
              <w:t>◻ Yes, per Article 61 and Annex XIV</w:t>
            </w:r>
          </w:p>
          <w:p w14:paraId="0CE824CB" w14:textId="1A423837" w:rsidR="00240A0B" w:rsidRDefault="006A3FA0" w:rsidP="006A3FA0">
            <w:pPr>
              <w:jc w:val="left"/>
            </w:pPr>
            <w:r>
              <w:t>◻ N/A</w:t>
            </w:r>
          </w:p>
        </w:tc>
        <w:tc>
          <w:tcPr>
            <w:tcW w:w="4000" w:type="dxa"/>
            <w:vAlign w:val="center"/>
          </w:tcPr>
          <w:p w14:paraId="40D845A8" w14:textId="77777777" w:rsidR="00240A0B" w:rsidRDefault="00240A0B" w:rsidP="00240A0B">
            <w:pPr>
              <w:jc w:val="left"/>
            </w:pPr>
          </w:p>
        </w:tc>
      </w:tr>
      <w:tr w:rsidR="00240A0B" w14:paraId="03982887" w14:textId="77777777" w:rsidTr="00297BA6">
        <w:tc>
          <w:tcPr>
            <w:tcW w:w="2235" w:type="dxa"/>
            <w:vAlign w:val="center"/>
          </w:tcPr>
          <w:p w14:paraId="5D55D74B" w14:textId="4DB92E2B" w:rsidR="00240A0B" w:rsidRPr="002D4A38" w:rsidRDefault="00240A0B" w:rsidP="00240A0B">
            <w:pPr>
              <w:jc w:val="left"/>
            </w:pPr>
            <w:r w:rsidRPr="002D4A38">
              <w:t>UDI carrier</w:t>
            </w:r>
          </w:p>
        </w:tc>
        <w:tc>
          <w:tcPr>
            <w:tcW w:w="3827" w:type="dxa"/>
            <w:vAlign w:val="center"/>
          </w:tcPr>
          <w:p w14:paraId="374B919A" w14:textId="41B20263" w:rsidR="00D76EC6" w:rsidRDefault="00D76EC6" w:rsidP="00D76EC6">
            <w:pPr>
              <w:jc w:val="left"/>
            </w:pPr>
            <w:r>
              <w:t>◻ Yes, per Annex VI Part C</w:t>
            </w:r>
          </w:p>
          <w:p w14:paraId="564A4280" w14:textId="67B77F48" w:rsidR="00406AFD" w:rsidRDefault="00406AFD" w:rsidP="00D76EC6">
            <w:pPr>
              <w:jc w:val="left"/>
            </w:pPr>
            <w:r>
              <w:t xml:space="preserve">◻ Yes, </w:t>
            </w:r>
            <w:r w:rsidR="00317E8B">
              <w:t xml:space="preserve">but applicable from </w:t>
            </w:r>
            <w:r w:rsidR="00317E8B" w:rsidRPr="004546FD">
              <w:rPr>
                <w:color w:val="FF0000"/>
              </w:rPr>
              <w:t>YYYY/MM/DD</w:t>
            </w:r>
            <w:r w:rsidR="00317E8B">
              <w:t xml:space="preserve"> per Article 12</w:t>
            </w:r>
            <w:r w:rsidR="00593D2E">
              <w:t>3</w:t>
            </w:r>
          </w:p>
          <w:p w14:paraId="41314FFB" w14:textId="691D7F82" w:rsidR="00240A0B" w:rsidRDefault="00D76EC6" w:rsidP="00D76EC6">
            <w:pPr>
              <w:jc w:val="left"/>
            </w:pPr>
            <w:r>
              <w:t>◻ N/A</w:t>
            </w:r>
          </w:p>
        </w:tc>
        <w:tc>
          <w:tcPr>
            <w:tcW w:w="4000" w:type="dxa"/>
            <w:vAlign w:val="center"/>
          </w:tcPr>
          <w:p w14:paraId="1BD63411" w14:textId="77777777" w:rsidR="00240A0B" w:rsidRDefault="00240A0B" w:rsidP="00240A0B">
            <w:pPr>
              <w:jc w:val="left"/>
            </w:pPr>
          </w:p>
        </w:tc>
      </w:tr>
      <w:tr w:rsidR="00240A0B" w14:paraId="072387C3" w14:textId="77777777" w:rsidTr="00297BA6">
        <w:tc>
          <w:tcPr>
            <w:tcW w:w="2235" w:type="dxa"/>
            <w:vAlign w:val="center"/>
          </w:tcPr>
          <w:p w14:paraId="29969ABC" w14:textId="0091CC6B" w:rsidR="00240A0B" w:rsidRPr="002D4A38" w:rsidRDefault="00240A0B" w:rsidP="00240A0B">
            <w:pPr>
              <w:jc w:val="left"/>
            </w:pPr>
            <w:r w:rsidRPr="002D4A38">
              <w:t>Basic UDI-DI, UDI-DI/PI</w:t>
            </w:r>
          </w:p>
        </w:tc>
        <w:tc>
          <w:tcPr>
            <w:tcW w:w="3827" w:type="dxa"/>
            <w:vAlign w:val="center"/>
          </w:tcPr>
          <w:p w14:paraId="755D8354" w14:textId="2324E5FD" w:rsidR="004546FD" w:rsidRDefault="004546FD" w:rsidP="004546FD">
            <w:pPr>
              <w:jc w:val="left"/>
            </w:pPr>
            <w:r>
              <w:t xml:space="preserve">◻ Yes, per Article </w:t>
            </w:r>
            <w:r w:rsidR="000C14AE">
              <w:t>27</w:t>
            </w:r>
            <w:r>
              <w:t xml:space="preserve"> and Annex VI</w:t>
            </w:r>
          </w:p>
          <w:p w14:paraId="11BAD599" w14:textId="1F8413B8" w:rsidR="00240A0B" w:rsidRDefault="004546FD" w:rsidP="004546FD">
            <w:pPr>
              <w:jc w:val="left"/>
            </w:pPr>
            <w:r>
              <w:t>◻ N/A</w:t>
            </w:r>
          </w:p>
        </w:tc>
        <w:tc>
          <w:tcPr>
            <w:tcW w:w="4000" w:type="dxa"/>
            <w:vAlign w:val="center"/>
          </w:tcPr>
          <w:p w14:paraId="47A10401" w14:textId="77777777" w:rsidR="00240A0B" w:rsidRDefault="00240A0B" w:rsidP="00240A0B">
            <w:pPr>
              <w:jc w:val="left"/>
            </w:pPr>
          </w:p>
        </w:tc>
      </w:tr>
      <w:tr w:rsidR="009D4C06" w14:paraId="52C0CFDD" w14:textId="77777777" w:rsidTr="00297BA6">
        <w:tc>
          <w:tcPr>
            <w:tcW w:w="2235" w:type="dxa"/>
            <w:vAlign w:val="center"/>
          </w:tcPr>
          <w:p w14:paraId="646EFFC4" w14:textId="210233EA" w:rsidR="009D4C06" w:rsidRPr="002D4A38" w:rsidRDefault="009D4C06" w:rsidP="009D4C06">
            <w:pPr>
              <w:jc w:val="left"/>
            </w:pPr>
            <w:r w:rsidRPr="002D4A38">
              <w:t>Economic operator registration</w:t>
            </w:r>
          </w:p>
        </w:tc>
        <w:tc>
          <w:tcPr>
            <w:tcW w:w="3827" w:type="dxa"/>
            <w:vAlign w:val="center"/>
          </w:tcPr>
          <w:p w14:paraId="55C7BF36" w14:textId="08DCCFE5" w:rsidR="009D4C06" w:rsidRDefault="009D4C06" w:rsidP="009D4C06">
            <w:pPr>
              <w:jc w:val="left"/>
            </w:pPr>
            <w:r>
              <w:t xml:space="preserve">◻ Yes, per Articles </w:t>
            </w:r>
            <w:r w:rsidR="000C3653">
              <w:t xml:space="preserve">30, </w:t>
            </w:r>
            <w:r>
              <w:t>3</w:t>
            </w:r>
            <w:r w:rsidR="00A523B8">
              <w:t>1</w:t>
            </w:r>
            <w:r>
              <w:t>, 120 and Annex VI</w:t>
            </w:r>
          </w:p>
          <w:p w14:paraId="1156EFAD" w14:textId="6AFF543B" w:rsidR="009D4C06" w:rsidRDefault="009D4C06" w:rsidP="009D4C06">
            <w:pPr>
              <w:jc w:val="left"/>
            </w:pPr>
            <w:r>
              <w:t>◻ N/A</w:t>
            </w:r>
          </w:p>
        </w:tc>
        <w:tc>
          <w:tcPr>
            <w:tcW w:w="4000" w:type="dxa"/>
            <w:vAlign w:val="center"/>
          </w:tcPr>
          <w:p w14:paraId="4F3581C9" w14:textId="77777777" w:rsidR="009D4C06" w:rsidRDefault="009D4C06" w:rsidP="009D4C06">
            <w:pPr>
              <w:jc w:val="left"/>
            </w:pPr>
          </w:p>
        </w:tc>
      </w:tr>
      <w:tr w:rsidR="001835A2" w14:paraId="7A886C32" w14:textId="77777777" w:rsidTr="00297BA6">
        <w:tc>
          <w:tcPr>
            <w:tcW w:w="2235" w:type="dxa"/>
            <w:vAlign w:val="center"/>
          </w:tcPr>
          <w:p w14:paraId="791BFECE" w14:textId="273728FB" w:rsidR="001835A2" w:rsidRPr="002D4A38" w:rsidRDefault="001835A2" w:rsidP="001835A2">
            <w:pPr>
              <w:jc w:val="left"/>
            </w:pPr>
            <w:r w:rsidRPr="002D4A38">
              <w:t>Device registration</w:t>
            </w:r>
          </w:p>
        </w:tc>
        <w:tc>
          <w:tcPr>
            <w:tcW w:w="3827" w:type="dxa"/>
            <w:vAlign w:val="center"/>
          </w:tcPr>
          <w:p w14:paraId="1A042561" w14:textId="06E546CA" w:rsidR="001835A2" w:rsidRDefault="001835A2" w:rsidP="001835A2">
            <w:pPr>
              <w:jc w:val="left"/>
            </w:pPr>
            <w:r>
              <w:t xml:space="preserve">◻ Yes, per Articles </w:t>
            </w:r>
            <w:r w:rsidR="00A523B8">
              <w:t>29,</w:t>
            </w:r>
            <w:r>
              <w:t xml:space="preserve"> 120 and Annex VI</w:t>
            </w:r>
          </w:p>
          <w:p w14:paraId="420B232A" w14:textId="2C1ABD73" w:rsidR="001835A2" w:rsidRDefault="001835A2" w:rsidP="001835A2">
            <w:pPr>
              <w:jc w:val="left"/>
            </w:pPr>
            <w:r>
              <w:t>◻ N/A</w:t>
            </w:r>
          </w:p>
        </w:tc>
        <w:tc>
          <w:tcPr>
            <w:tcW w:w="4000" w:type="dxa"/>
            <w:vAlign w:val="center"/>
          </w:tcPr>
          <w:p w14:paraId="4050E5B0" w14:textId="77777777" w:rsidR="001835A2" w:rsidRDefault="001835A2" w:rsidP="001835A2">
            <w:pPr>
              <w:jc w:val="left"/>
            </w:pPr>
          </w:p>
        </w:tc>
      </w:tr>
      <w:tr w:rsidR="001835A2" w14:paraId="116703A6" w14:textId="77777777" w:rsidTr="00297BA6">
        <w:tc>
          <w:tcPr>
            <w:tcW w:w="2235" w:type="dxa"/>
            <w:vAlign w:val="center"/>
          </w:tcPr>
          <w:p w14:paraId="6EEB8FFC" w14:textId="79F54E6B" w:rsidR="001835A2" w:rsidRPr="002D4A38" w:rsidRDefault="001835A2" w:rsidP="001835A2">
            <w:pPr>
              <w:jc w:val="left"/>
            </w:pPr>
            <w:r w:rsidRPr="002D4A38">
              <w:t>Transitional provisions for legacy device</w:t>
            </w:r>
          </w:p>
        </w:tc>
        <w:tc>
          <w:tcPr>
            <w:tcW w:w="3827" w:type="dxa"/>
            <w:vAlign w:val="center"/>
          </w:tcPr>
          <w:p w14:paraId="289F993D" w14:textId="773EA2DF" w:rsidR="003C580D" w:rsidRDefault="003C580D" w:rsidP="003C580D">
            <w:r>
              <w:t>◻ Yes, per article 120</w:t>
            </w:r>
          </w:p>
          <w:p w14:paraId="5DFF9867" w14:textId="33CCFA28" w:rsidR="001835A2" w:rsidRDefault="003C580D" w:rsidP="003C580D">
            <w:pPr>
              <w:jc w:val="left"/>
            </w:pPr>
            <w:r>
              <w:t>◻ N/A</w:t>
            </w:r>
            <w:r w:rsidR="00E92084">
              <w:t>, the product is not a legacy device</w:t>
            </w:r>
          </w:p>
        </w:tc>
        <w:tc>
          <w:tcPr>
            <w:tcW w:w="4000" w:type="dxa"/>
            <w:vAlign w:val="center"/>
          </w:tcPr>
          <w:p w14:paraId="318689F3" w14:textId="77777777" w:rsidR="001835A2" w:rsidRDefault="001835A2" w:rsidP="001835A2">
            <w:pPr>
              <w:jc w:val="left"/>
            </w:pPr>
          </w:p>
        </w:tc>
      </w:tr>
      <w:tr w:rsidR="00E92084" w14:paraId="74D0D470" w14:textId="77777777" w:rsidTr="00297BA6">
        <w:tc>
          <w:tcPr>
            <w:tcW w:w="2235" w:type="dxa"/>
            <w:vAlign w:val="center"/>
          </w:tcPr>
          <w:p w14:paraId="4160A27F" w14:textId="39E19250" w:rsidR="00E92084" w:rsidRPr="002D4A38" w:rsidRDefault="00E92084" w:rsidP="00E92084">
            <w:pPr>
              <w:jc w:val="left"/>
            </w:pPr>
            <w:r>
              <w:t>Other</w:t>
            </w:r>
          </w:p>
        </w:tc>
        <w:tc>
          <w:tcPr>
            <w:tcW w:w="3827" w:type="dxa"/>
            <w:vAlign w:val="center"/>
          </w:tcPr>
          <w:p w14:paraId="3346B4EF" w14:textId="4538D6F7" w:rsidR="00E92084" w:rsidRDefault="00E92084" w:rsidP="00E92084"/>
        </w:tc>
        <w:tc>
          <w:tcPr>
            <w:tcW w:w="4000" w:type="dxa"/>
            <w:vAlign w:val="center"/>
          </w:tcPr>
          <w:p w14:paraId="3A9803A6" w14:textId="77777777" w:rsidR="00E92084" w:rsidRDefault="00E92084" w:rsidP="00E92084">
            <w:pPr>
              <w:jc w:val="left"/>
            </w:pPr>
          </w:p>
        </w:tc>
      </w:tr>
    </w:tbl>
    <w:p w14:paraId="4C763F57" w14:textId="77777777" w:rsidR="00775AD9" w:rsidRPr="00AA7B24" w:rsidRDefault="00775AD9" w:rsidP="00AA7B24"/>
    <w:p w14:paraId="2C821AF5" w14:textId="40A03058" w:rsidR="00173EDD" w:rsidRDefault="007D14DC" w:rsidP="007D14DC">
      <w:pPr>
        <w:pStyle w:val="Heading3"/>
      </w:pPr>
      <w:bookmarkStart w:id="43" w:name="_Toc148457111"/>
      <w:r>
        <w:t>Specific requirements</w:t>
      </w:r>
      <w:bookmarkEnd w:id="43"/>
    </w:p>
    <w:p w14:paraId="1542FF64" w14:textId="1B47598B" w:rsidR="000A0252" w:rsidRDefault="000A0252" w:rsidP="007D14DC">
      <w:r w:rsidRPr="00647957">
        <w:rPr>
          <w:highlight w:val="yellow"/>
        </w:rPr>
        <w:t xml:space="preserve">This section is optional but can be useful </w:t>
      </w:r>
      <w:r w:rsidR="00647957" w:rsidRPr="00647957">
        <w:rPr>
          <w:highlight w:val="yellow"/>
        </w:rPr>
        <w:t>when a project starts.</w:t>
      </w:r>
    </w:p>
    <w:p w14:paraId="20B71CB0" w14:textId="65A8BC0C" w:rsidR="007D14DC" w:rsidRPr="007D14DC" w:rsidRDefault="00C75D4F" w:rsidP="007D14DC">
      <w:r>
        <w:t>Requirements specific to [</w:t>
      </w:r>
      <w:r w:rsidRPr="00C75D4F">
        <w:rPr>
          <w:color w:val="FF0000"/>
        </w:rPr>
        <w:t>Device short name</w:t>
      </w:r>
      <w:r>
        <w:t>] have been looked for</w:t>
      </w:r>
      <w:r w:rsidR="00F7092F">
        <w:t xml:space="preserve"> and the following has been determined applicable.</w:t>
      </w:r>
    </w:p>
    <w:p w14:paraId="47A1433C" w14:textId="77777777" w:rsidR="00F33F5D" w:rsidRDefault="00F33F5D"/>
    <w:p w14:paraId="2FF3BAD4" w14:textId="16FA5C12" w:rsidR="00620EA7" w:rsidRPr="00D11EB6" w:rsidRDefault="00620EA7" w:rsidP="00620EA7">
      <w:pPr>
        <w:pStyle w:val="Caption"/>
        <w:spacing w:after="0"/>
        <w:rPr>
          <w:i w:val="0"/>
          <w:iCs w:val="0"/>
        </w:rPr>
      </w:pPr>
      <w:r w:rsidRPr="00D11EB6">
        <w:rPr>
          <w:i w:val="0"/>
          <w:iCs w:val="0"/>
        </w:rPr>
        <w:t xml:space="preserve">Table </w:t>
      </w:r>
      <w:r w:rsidRPr="00D11EB6">
        <w:rPr>
          <w:i w:val="0"/>
          <w:iCs w:val="0"/>
        </w:rPr>
        <w:fldChar w:fldCharType="begin"/>
      </w:r>
      <w:r w:rsidRPr="00D11EB6">
        <w:rPr>
          <w:i w:val="0"/>
          <w:iCs w:val="0"/>
        </w:rPr>
        <w:instrText xml:space="preserve"> SEQ Table \* ARABIC </w:instrText>
      </w:r>
      <w:r w:rsidRPr="00D11EB6">
        <w:rPr>
          <w:i w:val="0"/>
          <w:iCs w:val="0"/>
        </w:rPr>
        <w:fldChar w:fldCharType="separate"/>
      </w:r>
      <w:r>
        <w:rPr>
          <w:i w:val="0"/>
          <w:iCs w:val="0"/>
          <w:noProof/>
        </w:rPr>
        <w:t>6</w:t>
      </w:r>
      <w:r w:rsidRPr="00D11EB6">
        <w:rPr>
          <w:i w:val="0"/>
          <w:iCs w:val="0"/>
        </w:rPr>
        <w:fldChar w:fldCharType="end"/>
      </w:r>
      <w:r w:rsidRPr="00D11EB6">
        <w:rPr>
          <w:i w:val="0"/>
          <w:iCs w:val="0"/>
        </w:rPr>
        <w:t>: Applicable MDR requirements</w:t>
      </w:r>
    </w:p>
    <w:tbl>
      <w:tblPr>
        <w:tblStyle w:val="TableGrid"/>
        <w:tblW w:w="0" w:type="auto"/>
        <w:tblLook w:val="04A0" w:firstRow="1" w:lastRow="0" w:firstColumn="1" w:lastColumn="0" w:noHBand="0" w:noVBand="1"/>
      </w:tblPr>
      <w:tblGrid>
        <w:gridCol w:w="2518"/>
        <w:gridCol w:w="4678"/>
        <w:gridCol w:w="2866"/>
      </w:tblGrid>
      <w:tr w:rsidR="00620EA7" w14:paraId="173E4B33" w14:textId="77777777" w:rsidTr="00756B09">
        <w:trPr>
          <w:tblHeader/>
        </w:trPr>
        <w:tc>
          <w:tcPr>
            <w:tcW w:w="2518" w:type="dxa"/>
            <w:shd w:val="clear" w:color="auto" w:fill="4F81BD" w:themeFill="accent1"/>
            <w:vAlign w:val="center"/>
          </w:tcPr>
          <w:p w14:paraId="3453320E" w14:textId="29BD5210" w:rsidR="00620EA7" w:rsidRPr="00D11EB6" w:rsidRDefault="00F24C0C" w:rsidP="00E15D49">
            <w:pPr>
              <w:jc w:val="left"/>
              <w:rPr>
                <w:b/>
                <w:bCs/>
                <w:color w:val="FFFFFF" w:themeColor="background1"/>
              </w:rPr>
            </w:pPr>
            <w:r>
              <w:rPr>
                <w:b/>
                <w:bCs/>
                <w:color w:val="FFFFFF" w:themeColor="background1"/>
              </w:rPr>
              <w:t>Reference</w:t>
            </w:r>
          </w:p>
        </w:tc>
        <w:tc>
          <w:tcPr>
            <w:tcW w:w="4678" w:type="dxa"/>
            <w:shd w:val="clear" w:color="auto" w:fill="4F81BD" w:themeFill="accent1"/>
            <w:vAlign w:val="center"/>
          </w:tcPr>
          <w:p w14:paraId="76B41129" w14:textId="7A24223A" w:rsidR="00620EA7" w:rsidRPr="00D11EB6" w:rsidRDefault="00F24C0C" w:rsidP="00E15D49">
            <w:pPr>
              <w:jc w:val="left"/>
              <w:rPr>
                <w:b/>
                <w:bCs/>
                <w:color w:val="FFFFFF" w:themeColor="background1"/>
              </w:rPr>
            </w:pPr>
            <w:r>
              <w:rPr>
                <w:b/>
                <w:bCs/>
                <w:color w:val="FFFFFF" w:themeColor="background1"/>
              </w:rPr>
              <w:t>Title</w:t>
            </w:r>
          </w:p>
        </w:tc>
        <w:tc>
          <w:tcPr>
            <w:tcW w:w="2866" w:type="dxa"/>
            <w:shd w:val="clear" w:color="auto" w:fill="4F81BD" w:themeFill="accent1"/>
            <w:vAlign w:val="center"/>
          </w:tcPr>
          <w:p w14:paraId="75033612" w14:textId="10691BF2" w:rsidR="00620EA7" w:rsidRPr="00D11EB6" w:rsidRDefault="00620EA7" w:rsidP="00E15D49">
            <w:pPr>
              <w:jc w:val="left"/>
              <w:rPr>
                <w:b/>
                <w:bCs/>
                <w:color w:val="FFFFFF" w:themeColor="background1"/>
              </w:rPr>
            </w:pPr>
            <w:r>
              <w:rPr>
                <w:b/>
                <w:bCs/>
                <w:color w:val="FFFFFF" w:themeColor="background1"/>
              </w:rPr>
              <w:t>Comment</w:t>
            </w:r>
          </w:p>
        </w:tc>
      </w:tr>
      <w:tr w:rsidR="0031588A" w14:paraId="0C3EBAB7" w14:textId="77777777" w:rsidTr="00011CB2">
        <w:tc>
          <w:tcPr>
            <w:tcW w:w="10062" w:type="dxa"/>
            <w:gridSpan w:val="3"/>
            <w:vAlign w:val="center"/>
          </w:tcPr>
          <w:p w14:paraId="005C0C57" w14:textId="77777777" w:rsidR="0031588A" w:rsidRDefault="00B86CCD" w:rsidP="00E15D49">
            <w:pPr>
              <w:jc w:val="left"/>
              <w:rPr>
                <w:b/>
                <w:bCs/>
              </w:rPr>
            </w:pPr>
            <w:r w:rsidRPr="00B86CCD">
              <w:rPr>
                <w:b/>
                <w:bCs/>
              </w:rPr>
              <w:t>MDCG guidance documents</w:t>
            </w:r>
          </w:p>
          <w:p w14:paraId="684A7A32" w14:textId="2C518E8B" w:rsidR="003A2006" w:rsidRPr="003A2006" w:rsidRDefault="003A2006" w:rsidP="00E15D49">
            <w:pPr>
              <w:jc w:val="left"/>
            </w:pPr>
            <w:r w:rsidRPr="003A2006">
              <w:rPr>
                <w:highlight w:val="yellow"/>
              </w:rPr>
              <w:t>Check the applicable MDCG guidance document</w:t>
            </w:r>
            <w:r w:rsidR="005C55C0">
              <w:rPr>
                <w:highlight w:val="yellow"/>
              </w:rPr>
              <w:t>s</w:t>
            </w:r>
            <w:r w:rsidRPr="003A2006">
              <w:rPr>
                <w:highlight w:val="yellow"/>
              </w:rPr>
              <w:t xml:space="preserve"> </w:t>
            </w:r>
            <w:r w:rsidR="005C55C0">
              <w:rPr>
                <w:highlight w:val="yellow"/>
              </w:rPr>
              <w:t>via</w:t>
            </w:r>
            <w:r w:rsidRPr="003A2006">
              <w:rPr>
                <w:highlight w:val="yellow"/>
              </w:rPr>
              <w:t xml:space="preserve"> the following </w:t>
            </w:r>
            <w:hyperlink r:id="rId20" w:history="1">
              <w:r w:rsidRPr="00241802">
                <w:rPr>
                  <w:rStyle w:val="Hyperlink"/>
                  <w:highlight w:val="yellow"/>
                </w:rPr>
                <w:t>website</w:t>
              </w:r>
            </w:hyperlink>
            <w:r w:rsidRPr="003A2006">
              <w:rPr>
                <w:highlight w:val="yellow"/>
              </w:rPr>
              <w:t>.</w:t>
            </w:r>
          </w:p>
        </w:tc>
      </w:tr>
      <w:tr w:rsidR="0031588A" w14:paraId="710A3F2E" w14:textId="77777777" w:rsidTr="00756B09">
        <w:tc>
          <w:tcPr>
            <w:tcW w:w="2518" w:type="dxa"/>
            <w:vAlign w:val="center"/>
          </w:tcPr>
          <w:p w14:paraId="167A375F" w14:textId="3CD2B42A" w:rsidR="0031588A" w:rsidRPr="00F43DD6" w:rsidRDefault="00D64C0F" w:rsidP="00E15D49">
            <w:pPr>
              <w:jc w:val="left"/>
              <w:rPr>
                <w:color w:val="FF0000"/>
              </w:rPr>
            </w:pPr>
            <w:r w:rsidRPr="00F43DD6">
              <w:rPr>
                <w:color w:val="FF0000"/>
              </w:rPr>
              <w:t>MDCG 2020-2 rev.1</w:t>
            </w:r>
          </w:p>
        </w:tc>
        <w:tc>
          <w:tcPr>
            <w:tcW w:w="4678" w:type="dxa"/>
            <w:vAlign w:val="center"/>
          </w:tcPr>
          <w:p w14:paraId="69AAFDB8" w14:textId="13155FFC" w:rsidR="0031588A" w:rsidRPr="00F43DD6" w:rsidRDefault="00D64C0F" w:rsidP="00E15D49">
            <w:pPr>
              <w:jc w:val="left"/>
              <w:rPr>
                <w:color w:val="FF0000"/>
              </w:rPr>
            </w:pPr>
            <w:r w:rsidRPr="00F43DD6">
              <w:rPr>
                <w:color w:val="FF0000"/>
              </w:rPr>
              <w:t>Class I transitional provisions under Article 120 (3 and 4) – (MDR)</w:t>
            </w:r>
          </w:p>
        </w:tc>
        <w:tc>
          <w:tcPr>
            <w:tcW w:w="2866" w:type="dxa"/>
            <w:vAlign w:val="center"/>
          </w:tcPr>
          <w:p w14:paraId="5FD45D40" w14:textId="6AD04B96" w:rsidR="0031588A" w:rsidRPr="00241802" w:rsidRDefault="00241802" w:rsidP="00E15D49">
            <w:pPr>
              <w:jc w:val="left"/>
              <w:rPr>
                <w:highlight w:val="yellow"/>
              </w:rPr>
            </w:pPr>
            <w:r w:rsidRPr="00241802">
              <w:rPr>
                <w:highlight w:val="yellow"/>
              </w:rPr>
              <w:t>Applicable to class I only</w:t>
            </w:r>
          </w:p>
        </w:tc>
      </w:tr>
      <w:tr w:rsidR="00241802" w14:paraId="12301DAF" w14:textId="77777777" w:rsidTr="00756B09">
        <w:tc>
          <w:tcPr>
            <w:tcW w:w="2518" w:type="dxa"/>
            <w:vAlign w:val="center"/>
          </w:tcPr>
          <w:p w14:paraId="19C1EB33" w14:textId="1E1B4F8D" w:rsidR="00241802" w:rsidRPr="00F43DD6" w:rsidRDefault="00241802" w:rsidP="00241802">
            <w:pPr>
              <w:jc w:val="left"/>
              <w:rPr>
                <w:color w:val="FF0000"/>
              </w:rPr>
            </w:pPr>
            <w:r w:rsidRPr="00F43DD6">
              <w:rPr>
                <w:color w:val="FF0000"/>
              </w:rPr>
              <w:t>MDCG 2019-15 rev.1</w:t>
            </w:r>
          </w:p>
        </w:tc>
        <w:tc>
          <w:tcPr>
            <w:tcW w:w="4678" w:type="dxa"/>
            <w:vAlign w:val="center"/>
          </w:tcPr>
          <w:p w14:paraId="3F68C610" w14:textId="3320AEA5" w:rsidR="00241802" w:rsidRPr="00F43DD6" w:rsidRDefault="00241802" w:rsidP="00241802">
            <w:pPr>
              <w:jc w:val="left"/>
              <w:rPr>
                <w:color w:val="FF0000"/>
              </w:rPr>
            </w:pPr>
            <w:r w:rsidRPr="00F43DD6">
              <w:rPr>
                <w:color w:val="FF0000"/>
              </w:rPr>
              <w:t>Guidance notes for manufacturers of class I medical devices</w:t>
            </w:r>
          </w:p>
        </w:tc>
        <w:tc>
          <w:tcPr>
            <w:tcW w:w="2866" w:type="dxa"/>
            <w:vAlign w:val="center"/>
          </w:tcPr>
          <w:p w14:paraId="3183390B" w14:textId="5D6E5607" w:rsidR="00241802" w:rsidRDefault="00241802" w:rsidP="00241802">
            <w:pPr>
              <w:jc w:val="left"/>
            </w:pPr>
            <w:r w:rsidRPr="00241802">
              <w:rPr>
                <w:highlight w:val="yellow"/>
              </w:rPr>
              <w:t>Applicable to class I only</w:t>
            </w:r>
          </w:p>
        </w:tc>
      </w:tr>
      <w:tr w:rsidR="00241802" w14:paraId="5ABFA384" w14:textId="77777777" w:rsidTr="00756B09">
        <w:tc>
          <w:tcPr>
            <w:tcW w:w="2518" w:type="dxa"/>
            <w:vAlign w:val="center"/>
          </w:tcPr>
          <w:p w14:paraId="767EF01E" w14:textId="4C312A7D" w:rsidR="00241802" w:rsidRPr="00F43DD6" w:rsidRDefault="00241802" w:rsidP="00241802">
            <w:pPr>
              <w:jc w:val="left"/>
              <w:rPr>
                <w:color w:val="FF0000"/>
              </w:rPr>
            </w:pPr>
            <w:r w:rsidRPr="00F43DD6">
              <w:rPr>
                <w:color w:val="FF0000"/>
              </w:rPr>
              <w:t>MDCG 2020-7</w:t>
            </w:r>
          </w:p>
        </w:tc>
        <w:tc>
          <w:tcPr>
            <w:tcW w:w="4678" w:type="dxa"/>
            <w:vAlign w:val="center"/>
          </w:tcPr>
          <w:p w14:paraId="7ECEB671" w14:textId="1A6143BE" w:rsidR="00241802" w:rsidRPr="00F43DD6" w:rsidRDefault="00241802" w:rsidP="00241802">
            <w:pPr>
              <w:jc w:val="left"/>
              <w:rPr>
                <w:color w:val="FF0000"/>
              </w:rPr>
            </w:pPr>
            <w:r w:rsidRPr="00F43DD6">
              <w:rPr>
                <w:color w:val="FF0000"/>
              </w:rPr>
              <w:t>Guidance on PMCF plan template</w:t>
            </w:r>
          </w:p>
        </w:tc>
        <w:tc>
          <w:tcPr>
            <w:tcW w:w="2866" w:type="dxa"/>
            <w:vAlign w:val="center"/>
          </w:tcPr>
          <w:p w14:paraId="5B39FD84" w14:textId="4F32E9B1" w:rsidR="00241802" w:rsidRDefault="00241802" w:rsidP="00241802">
            <w:pPr>
              <w:jc w:val="left"/>
            </w:pPr>
            <w:r w:rsidRPr="00241802">
              <w:rPr>
                <w:highlight w:val="yellow"/>
              </w:rPr>
              <w:t>Applicable to all devices</w:t>
            </w:r>
          </w:p>
        </w:tc>
      </w:tr>
      <w:tr w:rsidR="00241802" w14:paraId="0CC84C21" w14:textId="77777777" w:rsidTr="00756B09">
        <w:tc>
          <w:tcPr>
            <w:tcW w:w="2518" w:type="dxa"/>
            <w:vAlign w:val="center"/>
          </w:tcPr>
          <w:p w14:paraId="356C2AB2" w14:textId="6BF73AAA" w:rsidR="00241802" w:rsidRPr="00F43DD6" w:rsidRDefault="00241802" w:rsidP="00241802">
            <w:pPr>
              <w:jc w:val="left"/>
              <w:rPr>
                <w:color w:val="FF0000"/>
              </w:rPr>
            </w:pPr>
            <w:r w:rsidRPr="00F43DD6">
              <w:rPr>
                <w:color w:val="FF0000"/>
              </w:rPr>
              <w:t>MDCG 2020-8</w:t>
            </w:r>
          </w:p>
        </w:tc>
        <w:tc>
          <w:tcPr>
            <w:tcW w:w="4678" w:type="dxa"/>
            <w:vAlign w:val="center"/>
          </w:tcPr>
          <w:p w14:paraId="11AEC25D" w14:textId="0C2020F8" w:rsidR="00241802" w:rsidRPr="00F43DD6" w:rsidRDefault="00241802" w:rsidP="00241802">
            <w:pPr>
              <w:jc w:val="left"/>
              <w:rPr>
                <w:color w:val="FF0000"/>
              </w:rPr>
            </w:pPr>
            <w:r w:rsidRPr="00F43DD6">
              <w:rPr>
                <w:color w:val="FF0000"/>
              </w:rPr>
              <w:t>Guidance on PMCF evaluation report template</w:t>
            </w:r>
          </w:p>
        </w:tc>
        <w:tc>
          <w:tcPr>
            <w:tcW w:w="2866" w:type="dxa"/>
            <w:vAlign w:val="center"/>
          </w:tcPr>
          <w:p w14:paraId="78631923" w14:textId="56298296" w:rsidR="00241802" w:rsidRDefault="00241802" w:rsidP="00241802">
            <w:pPr>
              <w:jc w:val="left"/>
            </w:pPr>
            <w:r w:rsidRPr="00241802">
              <w:rPr>
                <w:highlight w:val="yellow"/>
              </w:rPr>
              <w:t>Applicable to all devices</w:t>
            </w:r>
          </w:p>
        </w:tc>
      </w:tr>
      <w:tr w:rsidR="00067885" w14:paraId="72C1C23A" w14:textId="77777777" w:rsidTr="00756B09">
        <w:tc>
          <w:tcPr>
            <w:tcW w:w="2518" w:type="dxa"/>
            <w:vAlign w:val="center"/>
          </w:tcPr>
          <w:p w14:paraId="3BFCB25E" w14:textId="7B92D9F1" w:rsidR="00067885" w:rsidRPr="00F43DD6" w:rsidRDefault="00067885" w:rsidP="00067885">
            <w:pPr>
              <w:jc w:val="left"/>
              <w:rPr>
                <w:color w:val="FF0000"/>
              </w:rPr>
            </w:pPr>
            <w:r w:rsidRPr="00F43DD6">
              <w:rPr>
                <w:color w:val="FF0000"/>
              </w:rPr>
              <w:t>MDCG 2022-21</w:t>
            </w:r>
          </w:p>
        </w:tc>
        <w:tc>
          <w:tcPr>
            <w:tcW w:w="4678" w:type="dxa"/>
            <w:vAlign w:val="center"/>
          </w:tcPr>
          <w:p w14:paraId="6853890D" w14:textId="4BBFE4F7" w:rsidR="00067885" w:rsidRPr="00F43DD6" w:rsidRDefault="00067885" w:rsidP="00067885">
            <w:pPr>
              <w:jc w:val="left"/>
              <w:rPr>
                <w:color w:val="FF0000"/>
              </w:rPr>
            </w:pPr>
            <w:r w:rsidRPr="00F43DD6">
              <w:rPr>
                <w:color w:val="FF0000"/>
              </w:rPr>
              <w:t>Guidance on Periodic Safety Update Report (PSUR) according to Regulation (EU) 2017/745</w:t>
            </w:r>
          </w:p>
        </w:tc>
        <w:tc>
          <w:tcPr>
            <w:tcW w:w="2866" w:type="dxa"/>
            <w:vAlign w:val="center"/>
          </w:tcPr>
          <w:p w14:paraId="67BDADCF" w14:textId="1BBFBFA9" w:rsidR="00067885" w:rsidRPr="00241802" w:rsidRDefault="00067885" w:rsidP="00067885">
            <w:pPr>
              <w:jc w:val="left"/>
              <w:rPr>
                <w:highlight w:val="yellow"/>
              </w:rPr>
            </w:pPr>
            <w:r w:rsidRPr="00CB78C0">
              <w:rPr>
                <w:highlight w:val="yellow"/>
              </w:rPr>
              <w:t>Applicable to all devices</w:t>
            </w:r>
          </w:p>
        </w:tc>
      </w:tr>
      <w:tr w:rsidR="00067885" w14:paraId="50DDF5A4" w14:textId="77777777" w:rsidTr="00756B09">
        <w:tc>
          <w:tcPr>
            <w:tcW w:w="2518" w:type="dxa"/>
            <w:vAlign w:val="center"/>
          </w:tcPr>
          <w:p w14:paraId="443449B7" w14:textId="5BC499A1" w:rsidR="00067885" w:rsidRPr="00F43DD6" w:rsidRDefault="00067885" w:rsidP="00067885">
            <w:pPr>
              <w:jc w:val="left"/>
              <w:rPr>
                <w:color w:val="FF0000"/>
              </w:rPr>
            </w:pPr>
            <w:r w:rsidRPr="00F43DD6">
              <w:rPr>
                <w:color w:val="FF0000"/>
              </w:rPr>
              <w:t>MDCG 2020-6</w:t>
            </w:r>
          </w:p>
        </w:tc>
        <w:tc>
          <w:tcPr>
            <w:tcW w:w="4678" w:type="dxa"/>
            <w:vAlign w:val="center"/>
          </w:tcPr>
          <w:p w14:paraId="24FCBF68" w14:textId="387073E1" w:rsidR="00067885" w:rsidRPr="00F43DD6" w:rsidRDefault="00067885" w:rsidP="00067885">
            <w:pPr>
              <w:jc w:val="left"/>
              <w:rPr>
                <w:color w:val="FF0000"/>
              </w:rPr>
            </w:pPr>
            <w:r w:rsidRPr="00F43DD6">
              <w:rPr>
                <w:color w:val="FF0000"/>
              </w:rPr>
              <w:t>Guidance on sufficient clinical evidence for legacy devices</w:t>
            </w:r>
          </w:p>
        </w:tc>
        <w:tc>
          <w:tcPr>
            <w:tcW w:w="2866" w:type="dxa"/>
            <w:vAlign w:val="center"/>
          </w:tcPr>
          <w:p w14:paraId="0F47CF07" w14:textId="0F0B37B1" w:rsidR="00067885" w:rsidRDefault="00067885" w:rsidP="00067885">
            <w:pPr>
              <w:jc w:val="left"/>
            </w:pPr>
            <w:r w:rsidRPr="00241802">
              <w:rPr>
                <w:highlight w:val="yellow"/>
              </w:rPr>
              <w:t>Applicable to all devices</w:t>
            </w:r>
          </w:p>
        </w:tc>
      </w:tr>
      <w:tr w:rsidR="00067885" w14:paraId="70109905" w14:textId="77777777" w:rsidTr="00756B09">
        <w:tc>
          <w:tcPr>
            <w:tcW w:w="2518" w:type="dxa"/>
            <w:vAlign w:val="center"/>
          </w:tcPr>
          <w:p w14:paraId="00351392" w14:textId="74DD3E1D" w:rsidR="00067885" w:rsidRPr="00F43DD6" w:rsidRDefault="00067885" w:rsidP="00067885">
            <w:pPr>
              <w:jc w:val="left"/>
              <w:rPr>
                <w:color w:val="FF0000"/>
              </w:rPr>
            </w:pPr>
            <w:r w:rsidRPr="00F43DD6">
              <w:rPr>
                <w:color w:val="FF0000"/>
              </w:rPr>
              <w:t>MDCG 2020-5</w:t>
            </w:r>
          </w:p>
        </w:tc>
        <w:tc>
          <w:tcPr>
            <w:tcW w:w="4678" w:type="dxa"/>
            <w:vAlign w:val="center"/>
          </w:tcPr>
          <w:p w14:paraId="0F3C77FF" w14:textId="013B86E8" w:rsidR="00067885" w:rsidRPr="00F43DD6" w:rsidRDefault="00067885" w:rsidP="00067885">
            <w:pPr>
              <w:jc w:val="left"/>
              <w:rPr>
                <w:color w:val="FF0000"/>
              </w:rPr>
            </w:pPr>
            <w:r w:rsidRPr="00F43DD6">
              <w:rPr>
                <w:color w:val="FF0000"/>
              </w:rPr>
              <w:t>Guidance on clinical evaluation – Equivalence</w:t>
            </w:r>
          </w:p>
        </w:tc>
        <w:tc>
          <w:tcPr>
            <w:tcW w:w="2866" w:type="dxa"/>
            <w:vAlign w:val="center"/>
          </w:tcPr>
          <w:p w14:paraId="1DD42EB5" w14:textId="56AA2F61" w:rsidR="00067885" w:rsidRDefault="00067885" w:rsidP="00067885">
            <w:pPr>
              <w:jc w:val="left"/>
            </w:pPr>
            <w:r w:rsidRPr="00241802">
              <w:rPr>
                <w:highlight w:val="yellow"/>
              </w:rPr>
              <w:t>Applicabl</w:t>
            </w:r>
            <w:r>
              <w:rPr>
                <w:highlight w:val="yellow"/>
              </w:rPr>
              <w:t>e when an equivalence route is used in the CER</w:t>
            </w:r>
          </w:p>
        </w:tc>
      </w:tr>
      <w:tr w:rsidR="00067885" w14:paraId="7F05E070" w14:textId="77777777" w:rsidTr="00756B09">
        <w:tc>
          <w:tcPr>
            <w:tcW w:w="2518" w:type="dxa"/>
            <w:vAlign w:val="center"/>
          </w:tcPr>
          <w:p w14:paraId="1C98C982" w14:textId="220AC452" w:rsidR="00067885" w:rsidRPr="00F43DD6" w:rsidRDefault="00067885" w:rsidP="00067885">
            <w:pPr>
              <w:jc w:val="left"/>
              <w:rPr>
                <w:color w:val="FF0000"/>
              </w:rPr>
            </w:pPr>
            <w:r w:rsidRPr="00F43DD6">
              <w:rPr>
                <w:color w:val="FF0000"/>
              </w:rPr>
              <w:t>MDCG 2019-9 - Rev.1</w:t>
            </w:r>
          </w:p>
        </w:tc>
        <w:tc>
          <w:tcPr>
            <w:tcW w:w="4678" w:type="dxa"/>
            <w:vAlign w:val="center"/>
          </w:tcPr>
          <w:p w14:paraId="2C773DD2" w14:textId="6359AA04" w:rsidR="00067885" w:rsidRPr="00F43DD6" w:rsidRDefault="00067885" w:rsidP="00067885">
            <w:pPr>
              <w:jc w:val="left"/>
              <w:rPr>
                <w:color w:val="FF0000"/>
              </w:rPr>
            </w:pPr>
            <w:r w:rsidRPr="00F43DD6">
              <w:rPr>
                <w:color w:val="FF0000"/>
              </w:rPr>
              <w:t>Summary of safety and clinical performance</w:t>
            </w:r>
          </w:p>
        </w:tc>
        <w:tc>
          <w:tcPr>
            <w:tcW w:w="2866" w:type="dxa"/>
            <w:vAlign w:val="center"/>
          </w:tcPr>
          <w:p w14:paraId="758B609A" w14:textId="36CBCC10" w:rsidR="00067885" w:rsidRPr="00CD2F9D" w:rsidRDefault="00067885" w:rsidP="00067885">
            <w:pPr>
              <w:jc w:val="left"/>
              <w:rPr>
                <w:highlight w:val="yellow"/>
              </w:rPr>
            </w:pPr>
            <w:r w:rsidRPr="00CD2F9D">
              <w:rPr>
                <w:highlight w:val="yellow"/>
              </w:rPr>
              <w:t>Applicable to class III and implantable devices</w:t>
            </w:r>
          </w:p>
        </w:tc>
      </w:tr>
      <w:tr w:rsidR="00067885" w14:paraId="5302C22C" w14:textId="77777777" w:rsidTr="00756B09">
        <w:tc>
          <w:tcPr>
            <w:tcW w:w="2518" w:type="dxa"/>
            <w:vAlign w:val="center"/>
          </w:tcPr>
          <w:p w14:paraId="42D83E51" w14:textId="4C551904" w:rsidR="00067885" w:rsidRPr="00F43DD6" w:rsidRDefault="00067885" w:rsidP="00067885">
            <w:pPr>
              <w:jc w:val="left"/>
              <w:rPr>
                <w:color w:val="FF0000"/>
              </w:rPr>
            </w:pPr>
            <w:r w:rsidRPr="00F43DD6">
              <w:rPr>
                <w:color w:val="FF0000"/>
              </w:rPr>
              <w:t>MDCG 2021-3</w:t>
            </w:r>
          </w:p>
        </w:tc>
        <w:tc>
          <w:tcPr>
            <w:tcW w:w="4678" w:type="dxa"/>
            <w:vAlign w:val="center"/>
          </w:tcPr>
          <w:p w14:paraId="7CDB8F06" w14:textId="61DC6D28" w:rsidR="00067885" w:rsidRPr="00F43DD6" w:rsidRDefault="00067885" w:rsidP="00067885">
            <w:pPr>
              <w:jc w:val="left"/>
              <w:rPr>
                <w:color w:val="FF0000"/>
              </w:rPr>
            </w:pPr>
            <w:r w:rsidRPr="00F43DD6">
              <w:rPr>
                <w:color w:val="FF0000"/>
              </w:rPr>
              <w:t>Questions and Answers on Custom-Made Devices</w:t>
            </w:r>
          </w:p>
        </w:tc>
        <w:tc>
          <w:tcPr>
            <w:tcW w:w="2866" w:type="dxa"/>
            <w:vAlign w:val="center"/>
          </w:tcPr>
          <w:p w14:paraId="0E0AE513" w14:textId="71D42DF0" w:rsidR="00067885" w:rsidRDefault="00067885" w:rsidP="00067885">
            <w:pPr>
              <w:jc w:val="left"/>
            </w:pPr>
            <w:r w:rsidRPr="00CD2F9D">
              <w:rPr>
                <w:highlight w:val="yellow"/>
              </w:rPr>
              <w:t>Applicable to custom made devices</w:t>
            </w:r>
          </w:p>
        </w:tc>
      </w:tr>
      <w:tr w:rsidR="00067885" w14:paraId="7445309B" w14:textId="77777777" w:rsidTr="00756B09">
        <w:tc>
          <w:tcPr>
            <w:tcW w:w="2518" w:type="dxa"/>
            <w:vAlign w:val="center"/>
          </w:tcPr>
          <w:p w14:paraId="2ADBF9E1" w14:textId="5642B42A" w:rsidR="00067885" w:rsidRPr="00F43DD6" w:rsidRDefault="00067885" w:rsidP="00067885">
            <w:pPr>
              <w:jc w:val="left"/>
              <w:rPr>
                <w:color w:val="FF0000"/>
              </w:rPr>
            </w:pPr>
            <w:r w:rsidRPr="00F43DD6">
              <w:rPr>
                <w:color w:val="FF0000"/>
              </w:rPr>
              <w:t>MDCG 2021-11</w:t>
            </w:r>
          </w:p>
        </w:tc>
        <w:tc>
          <w:tcPr>
            <w:tcW w:w="4678" w:type="dxa"/>
            <w:vAlign w:val="center"/>
          </w:tcPr>
          <w:p w14:paraId="540E0587" w14:textId="5C431BE1" w:rsidR="00067885" w:rsidRPr="00F43DD6" w:rsidRDefault="00067885" w:rsidP="00067885">
            <w:pPr>
              <w:jc w:val="left"/>
              <w:rPr>
                <w:color w:val="FF0000"/>
              </w:rPr>
            </w:pPr>
            <w:r w:rsidRPr="00F43DD6">
              <w:rPr>
                <w:color w:val="FF0000"/>
              </w:rPr>
              <w:t>Guidance on Implant Card – Device types</w:t>
            </w:r>
          </w:p>
        </w:tc>
        <w:tc>
          <w:tcPr>
            <w:tcW w:w="2866" w:type="dxa"/>
            <w:vAlign w:val="center"/>
          </w:tcPr>
          <w:p w14:paraId="38F6EF40" w14:textId="660808F1" w:rsidR="00067885" w:rsidRPr="00CD2F9D" w:rsidRDefault="00067885" w:rsidP="00067885">
            <w:pPr>
              <w:jc w:val="left"/>
              <w:rPr>
                <w:highlight w:val="yellow"/>
              </w:rPr>
            </w:pPr>
            <w:r w:rsidRPr="00CD2F9D">
              <w:rPr>
                <w:highlight w:val="yellow"/>
              </w:rPr>
              <w:t>Applicable to implant</w:t>
            </w:r>
            <w:r>
              <w:rPr>
                <w:highlight w:val="yellow"/>
              </w:rPr>
              <w:t>s</w:t>
            </w:r>
          </w:p>
        </w:tc>
      </w:tr>
      <w:tr w:rsidR="00067885" w14:paraId="41DD8B6F" w14:textId="77777777" w:rsidTr="00756B09">
        <w:tc>
          <w:tcPr>
            <w:tcW w:w="2518" w:type="dxa"/>
            <w:vAlign w:val="center"/>
          </w:tcPr>
          <w:p w14:paraId="60AA8A15" w14:textId="6E7B3503" w:rsidR="00067885" w:rsidRPr="00F43DD6" w:rsidRDefault="00067885" w:rsidP="00067885">
            <w:pPr>
              <w:jc w:val="left"/>
              <w:rPr>
                <w:color w:val="FF0000"/>
              </w:rPr>
            </w:pPr>
            <w:r w:rsidRPr="00F43DD6">
              <w:rPr>
                <w:color w:val="FF0000"/>
              </w:rPr>
              <w:t>MDCG 2019-8 v2</w:t>
            </w:r>
          </w:p>
        </w:tc>
        <w:tc>
          <w:tcPr>
            <w:tcW w:w="4678" w:type="dxa"/>
            <w:vAlign w:val="center"/>
          </w:tcPr>
          <w:p w14:paraId="09803939" w14:textId="17520172" w:rsidR="00067885" w:rsidRPr="00F43DD6" w:rsidRDefault="00067885" w:rsidP="00067885">
            <w:pPr>
              <w:jc w:val="left"/>
              <w:rPr>
                <w:color w:val="FF0000"/>
              </w:rPr>
            </w:pPr>
            <w:r w:rsidRPr="00F43DD6">
              <w:rPr>
                <w:color w:val="FF0000"/>
              </w:rPr>
              <w:t>Guidance document implant card on the application of Article 18 Regulation (EU) 2017/745 on medical devices</w:t>
            </w:r>
          </w:p>
        </w:tc>
        <w:tc>
          <w:tcPr>
            <w:tcW w:w="2866" w:type="dxa"/>
            <w:vAlign w:val="center"/>
          </w:tcPr>
          <w:p w14:paraId="17200146" w14:textId="58FAE5DA" w:rsidR="00067885" w:rsidRDefault="00067885" w:rsidP="00067885">
            <w:pPr>
              <w:jc w:val="left"/>
            </w:pPr>
            <w:r w:rsidRPr="00CD2F9D">
              <w:rPr>
                <w:highlight w:val="yellow"/>
              </w:rPr>
              <w:t>Applicable to implant</w:t>
            </w:r>
            <w:r>
              <w:rPr>
                <w:highlight w:val="yellow"/>
              </w:rPr>
              <w:t>s</w:t>
            </w:r>
          </w:p>
        </w:tc>
      </w:tr>
      <w:tr w:rsidR="00067885" w14:paraId="716FA05C" w14:textId="77777777" w:rsidTr="00756B09">
        <w:tc>
          <w:tcPr>
            <w:tcW w:w="2518" w:type="dxa"/>
            <w:vAlign w:val="center"/>
          </w:tcPr>
          <w:p w14:paraId="69626802" w14:textId="62915602" w:rsidR="00067885" w:rsidRPr="00F43DD6" w:rsidRDefault="00067885" w:rsidP="00067885">
            <w:pPr>
              <w:jc w:val="left"/>
              <w:rPr>
                <w:color w:val="FF0000"/>
              </w:rPr>
            </w:pPr>
            <w:r w:rsidRPr="00F43DD6">
              <w:rPr>
                <w:color w:val="FF0000"/>
              </w:rPr>
              <w:t>MDCG 2020-1</w:t>
            </w:r>
          </w:p>
        </w:tc>
        <w:tc>
          <w:tcPr>
            <w:tcW w:w="4678" w:type="dxa"/>
            <w:vAlign w:val="center"/>
          </w:tcPr>
          <w:p w14:paraId="7F3D148D" w14:textId="71C00E6D" w:rsidR="00067885" w:rsidRPr="00F43DD6" w:rsidRDefault="00067885" w:rsidP="00067885">
            <w:pPr>
              <w:jc w:val="left"/>
              <w:rPr>
                <w:color w:val="FF0000"/>
              </w:rPr>
            </w:pPr>
            <w:r w:rsidRPr="00F43DD6">
              <w:rPr>
                <w:color w:val="FF0000"/>
              </w:rPr>
              <w:t>Guidance on clinical evaluation (MDR) / Performance evaluation (IVDR) of medical device software</w:t>
            </w:r>
          </w:p>
        </w:tc>
        <w:tc>
          <w:tcPr>
            <w:tcW w:w="2866" w:type="dxa"/>
            <w:vAlign w:val="center"/>
          </w:tcPr>
          <w:p w14:paraId="654A60C7" w14:textId="6B21A3C7" w:rsidR="00067885" w:rsidRPr="00CB78C0" w:rsidRDefault="00067885" w:rsidP="00067885">
            <w:pPr>
              <w:jc w:val="left"/>
              <w:rPr>
                <w:highlight w:val="yellow"/>
              </w:rPr>
            </w:pPr>
            <w:r w:rsidRPr="00CB78C0">
              <w:rPr>
                <w:highlight w:val="yellow"/>
              </w:rPr>
              <w:t>Applicable to</w:t>
            </w:r>
            <w:r>
              <w:rPr>
                <w:highlight w:val="yellow"/>
              </w:rPr>
              <w:t xml:space="preserve"> devices with</w:t>
            </w:r>
            <w:r w:rsidRPr="00CB78C0">
              <w:rPr>
                <w:highlight w:val="yellow"/>
              </w:rPr>
              <w:t xml:space="preserve"> software</w:t>
            </w:r>
          </w:p>
        </w:tc>
      </w:tr>
      <w:tr w:rsidR="00067885" w14:paraId="36DED425" w14:textId="77777777" w:rsidTr="00756B09">
        <w:tc>
          <w:tcPr>
            <w:tcW w:w="2518" w:type="dxa"/>
            <w:vAlign w:val="center"/>
          </w:tcPr>
          <w:p w14:paraId="0A896AF4" w14:textId="7BF474C6" w:rsidR="00067885" w:rsidRPr="00F43DD6" w:rsidRDefault="00067885" w:rsidP="00067885">
            <w:pPr>
              <w:jc w:val="left"/>
              <w:rPr>
                <w:color w:val="FF0000"/>
              </w:rPr>
            </w:pPr>
            <w:r w:rsidRPr="00F43DD6">
              <w:rPr>
                <w:color w:val="FF0000"/>
              </w:rPr>
              <w:t>MDCG 2019-16 rev.1</w:t>
            </w:r>
          </w:p>
        </w:tc>
        <w:tc>
          <w:tcPr>
            <w:tcW w:w="4678" w:type="dxa"/>
            <w:vAlign w:val="center"/>
          </w:tcPr>
          <w:p w14:paraId="54D8DADF" w14:textId="4318B318" w:rsidR="00067885" w:rsidRPr="00F43DD6" w:rsidRDefault="00067885" w:rsidP="00067885">
            <w:pPr>
              <w:jc w:val="left"/>
              <w:rPr>
                <w:color w:val="FF0000"/>
              </w:rPr>
            </w:pPr>
            <w:r w:rsidRPr="00F43DD6">
              <w:rPr>
                <w:color w:val="FF0000"/>
              </w:rPr>
              <w:t>Guidance on cybersecurity for medical devices</w:t>
            </w:r>
          </w:p>
        </w:tc>
        <w:tc>
          <w:tcPr>
            <w:tcW w:w="2866" w:type="dxa"/>
            <w:vAlign w:val="center"/>
          </w:tcPr>
          <w:p w14:paraId="1E517AC0" w14:textId="522F6098" w:rsidR="00067885" w:rsidRDefault="00067885" w:rsidP="00067885">
            <w:pPr>
              <w:jc w:val="left"/>
            </w:pPr>
            <w:r w:rsidRPr="00CB78C0">
              <w:rPr>
                <w:highlight w:val="yellow"/>
              </w:rPr>
              <w:t>Applicable to</w:t>
            </w:r>
            <w:r>
              <w:rPr>
                <w:highlight w:val="yellow"/>
              </w:rPr>
              <w:t xml:space="preserve"> devices with</w:t>
            </w:r>
            <w:r w:rsidRPr="00CB78C0">
              <w:rPr>
                <w:highlight w:val="yellow"/>
              </w:rPr>
              <w:t xml:space="preserve"> software</w:t>
            </w:r>
          </w:p>
        </w:tc>
      </w:tr>
      <w:tr w:rsidR="00067885" w14:paraId="08D685A2" w14:textId="77777777" w:rsidTr="00756B09">
        <w:tc>
          <w:tcPr>
            <w:tcW w:w="2518" w:type="dxa"/>
            <w:vAlign w:val="center"/>
          </w:tcPr>
          <w:p w14:paraId="21347493" w14:textId="00990653" w:rsidR="00067885" w:rsidRPr="00067885" w:rsidRDefault="00067885" w:rsidP="00067885">
            <w:pPr>
              <w:jc w:val="left"/>
              <w:rPr>
                <w:color w:val="FF0000"/>
              </w:rPr>
            </w:pPr>
            <w:r w:rsidRPr="00067885">
              <w:rPr>
                <w:color w:val="FF0000"/>
              </w:rPr>
              <w:t>XXX</w:t>
            </w:r>
          </w:p>
        </w:tc>
        <w:tc>
          <w:tcPr>
            <w:tcW w:w="4678" w:type="dxa"/>
            <w:vAlign w:val="center"/>
          </w:tcPr>
          <w:p w14:paraId="7468DE20" w14:textId="59DEDBE9" w:rsidR="00067885" w:rsidRPr="00067885" w:rsidRDefault="00067885" w:rsidP="00067885">
            <w:pPr>
              <w:jc w:val="left"/>
              <w:rPr>
                <w:color w:val="FF0000"/>
              </w:rPr>
            </w:pPr>
            <w:r w:rsidRPr="00067885">
              <w:rPr>
                <w:color w:val="FF0000"/>
              </w:rPr>
              <w:t>XXX</w:t>
            </w:r>
          </w:p>
        </w:tc>
        <w:tc>
          <w:tcPr>
            <w:tcW w:w="2866" w:type="dxa"/>
            <w:vAlign w:val="center"/>
          </w:tcPr>
          <w:p w14:paraId="761E70B3" w14:textId="05B2F8B4" w:rsidR="00067885" w:rsidRPr="00CB78C0" w:rsidRDefault="00067885" w:rsidP="00067885">
            <w:pPr>
              <w:jc w:val="left"/>
              <w:rPr>
                <w:highlight w:val="yellow"/>
              </w:rPr>
            </w:pPr>
          </w:p>
        </w:tc>
      </w:tr>
      <w:tr w:rsidR="00067885" w14:paraId="00CC1D77" w14:textId="77777777" w:rsidTr="008A1DA7">
        <w:tc>
          <w:tcPr>
            <w:tcW w:w="10062" w:type="dxa"/>
            <w:gridSpan w:val="3"/>
            <w:vAlign w:val="center"/>
          </w:tcPr>
          <w:p w14:paraId="31DB5D3E" w14:textId="77777777" w:rsidR="00067885" w:rsidRDefault="00067885" w:rsidP="00067885">
            <w:pPr>
              <w:jc w:val="left"/>
              <w:rPr>
                <w:b/>
                <w:bCs/>
              </w:rPr>
            </w:pPr>
            <w:r w:rsidRPr="00B86CCD">
              <w:rPr>
                <w:b/>
                <w:bCs/>
              </w:rPr>
              <w:t>Harmonized standards</w:t>
            </w:r>
          </w:p>
          <w:p w14:paraId="16BA3691" w14:textId="106CEE94" w:rsidR="00067885" w:rsidRPr="000A0252" w:rsidRDefault="000A0252" w:rsidP="00067885">
            <w:pPr>
              <w:jc w:val="left"/>
            </w:pPr>
            <w:r w:rsidRPr="000A0252">
              <w:rPr>
                <w:highlight w:val="yellow"/>
              </w:rPr>
              <w:t>Consult the list</w:t>
            </w:r>
            <w:r w:rsidR="00647957">
              <w:rPr>
                <w:highlight w:val="yellow"/>
              </w:rPr>
              <w:t>s</w:t>
            </w:r>
            <w:r w:rsidRPr="000A0252">
              <w:rPr>
                <w:highlight w:val="yellow"/>
              </w:rPr>
              <w:t xml:space="preserve"> of harmonized standard</w:t>
            </w:r>
            <w:r w:rsidRPr="005C55C0">
              <w:rPr>
                <w:highlight w:val="yellow"/>
              </w:rPr>
              <w:t>s</w:t>
            </w:r>
            <w:r w:rsidR="005C55C0" w:rsidRPr="005C55C0">
              <w:rPr>
                <w:highlight w:val="yellow"/>
              </w:rPr>
              <w:t xml:space="preserve"> via the following </w:t>
            </w:r>
            <w:hyperlink r:id="rId21" w:history="1">
              <w:r w:rsidR="005C55C0" w:rsidRPr="005C55C0">
                <w:rPr>
                  <w:rStyle w:val="Hyperlink"/>
                  <w:highlight w:val="yellow"/>
                </w:rPr>
                <w:t>website</w:t>
              </w:r>
            </w:hyperlink>
          </w:p>
        </w:tc>
      </w:tr>
      <w:tr w:rsidR="00067885" w14:paraId="7F62C20D" w14:textId="77777777" w:rsidTr="00756B09">
        <w:tc>
          <w:tcPr>
            <w:tcW w:w="2518" w:type="dxa"/>
            <w:vAlign w:val="center"/>
          </w:tcPr>
          <w:p w14:paraId="24DC0C94" w14:textId="4EC7C13A" w:rsidR="00067885" w:rsidRPr="00F43DD6" w:rsidRDefault="00F22B60" w:rsidP="00067885">
            <w:pPr>
              <w:jc w:val="left"/>
              <w:rPr>
                <w:color w:val="FF0000"/>
              </w:rPr>
            </w:pPr>
            <w:r w:rsidRPr="00F43DD6">
              <w:rPr>
                <w:color w:val="FF0000"/>
              </w:rPr>
              <w:t>EN ISO 10993-23:2021</w:t>
            </w:r>
          </w:p>
        </w:tc>
        <w:tc>
          <w:tcPr>
            <w:tcW w:w="4678" w:type="dxa"/>
            <w:vAlign w:val="center"/>
          </w:tcPr>
          <w:p w14:paraId="28DB5BBD" w14:textId="03D28145" w:rsidR="00067885" w:rsidRPr="00F43DD6" w:rsidRDefault="0042107A" w:rsidP="00067885">
            <w:pPr>
              <w:jc w:val="left"/>
              <w:rPr>
                <w:color w:val="FF0000"/>
              </w:rPr>
            </w:pPr>
            <w:r w:rsidRPr="00F43DD6">
              <w:rPr>
                <w:color w:val="FF0000"/>
              </w:rPr>
              <w:t xml:space="preserve">Biological evaluation of medical devices - Part 23: Tests for irritation </w:t>
            </w:r>
            <w:r w:rsidR="00DC6032" w:rsidRPr="00F43DD6">
              <w:rPr>
                <w:color w:val="FF0000"/>
              </w:rPr>
              <w:t>[1]</w:t>
            </w:r>
          </w:p>
        </w:tc>
        <w:tc>
          <w:tcPr>
            <w:tcW w:w="2866" w:type="dxa"/>
            <w:vAlign w:val="center"/>
          </w:tcPr>
          <w:p w14:paraId="025B3090" w14:textId="4728C869" w:rsidR="00067885" w:rsidRDefault="00253C4F" w:rsidP="00067885">
            <w:pPr>
              <w:jc w:val="left"/>
            </w:pPr>
            <w:r w:rsidRPr="00253C4F">
              <w:rPr>
                <w:highlight w:val="yellow"/>
              </w:rPr>
              <w:t>Biocompatibility</w:t>
            </w:r>
          </w:p>
        </w:tc>
      </w:tr>
      <w:tr w:rsidR="00253C4F" w14:paraId="53DB0DC0" w14:textId="77777777" w:rsidTr="00756B09">
        <w:tc>
          <w:tcPr>
            <w:tcW w:w="2518" w:type="dxa"/>
            <w:vAlign w:val="center"/>
          </w:tcPr>
          <w:p w14:paraId="61C3AF72" w14:textId="19310B6E" w:rsidR="00253C4F" w:rsidRPr="00F43DD6" w:rsidRDefault="00253C4F" w:rsidP="00253C4F">
            <w:pPr>
              <w:jc w:val="left"/>
              <w:rPr>
                <w:color w:val="FF0000"/>
              </w:rPr>
            </w:pPr>
            <w:r w:rsidRPr="00F43DD6">
              <w:rPr>
                <w:color w:val="FF0000"/>
              </w:rPr>
              <w:t>EN ISO 11135:2014/A1:2019</w:t>
            </w:r>
          </w:p>
        </w:tc>
        <w:tc>
          <w:tcPr>
            <w:tcW w:w="4678" w:type="dxa"/>
            <w:vAlign w:val="center"/>
          </w:tcPr>
          <w:p w14:paraId="2B2E804E" w14:textId="333D63E1" w:rsidR="00253C4F" w:rsidRPr="00F43DD6" w:rsidRDefault="00253C4F" w:rsidP="00253C4F">
            <w:pPr>
              <w:jc w:val="left"/>
              <w:rPr>
                <w:color w:val="FF0000"/>
              </w:rPr>
            </w:pPr>
            <w:r w:rsidRPr="00F43DD6">
              <w:rPr>
                <w:color w:val="FF0000"/>
              </w:rPr>
              <w:t>Sterilization of health care products - Ethylene oxide - Requirements for the development, validation and routine control of a sterilization process for medical devices [2]</w:t>
            </w:r>
          </w:p>
        </w:tc>
        <w:tc>
          <w:tcPr>
            <w:tcW w:w="2866" w:type="dxa"/>
            <w:vAlign w:val="center"/>
          </w:tcPr>
          <w:p w14:paraId="31FD0CA6" w14:textId="47F39107" w:rsidR="00253C4F" w:rsidRDefault="00253C4F" w:rsidP="00253C4F">
            <w:pPr>
              <w:jc w:val="left"/>
            </w:pPr>
            <w:r w:rsidRPr="00253C4F">
              <w:rPr>
                <w:highlight w:val="yellow"/>
              </w:rPr>
              <w:t>Sterilization</w:t>
            </w:r>
          </w:p>
        </w:tc>
      </w:tr>
      <w:tr w:rsidR="00253C4F" w14:paraId="62160D25" w14:textId="77777777" w:rsidTr="00756B09">
        <w:tc>
          <w:tcPr>
            <w:tcW w:w="2518" w:type="dxa"/>
            <w:vAlign w:val="center"/>
          </w:tcPr>
          <w:p w14:paraId="7D0FCD4A" w14:textId="75E00EA6" w:rsidR="00253C4F" w:rsidRPr="00F43DD6" w:rsidRDefault="00253C4F" w:rsidP="00253C4F">
            <w:pPr>
              <w:jc w:val="left"/>
              <w:rPr>
                <w:color w:val="FF0000"/>
              </w:rPr>
            </w:pPr>
            <w:r w:rsidRPr="00F43DD6">
              <w:rPr>
                <w:color w:val="FF0000"/>
              </w:rPr>
              <w:t>EN ISO 11137-1:2015/A2:2019</w:t>
            </w:r>
          </w:p>
        </w:tc>
        <w:tc>
          <w:tcPr>
            <w:tcW w:w="4678" w:type="dxa"/>
            <w:vAlign w:val="center"/>
          </w:tcPr>
          <w:p w14:paraId="62439A46" w14:textId="0121DDF1" w:rsidR="00253C4F" w:rsidRPr="00F43DD6" w:rsidRDefault="00253C4F" w:rsidP="00253C4F">
            <w:pPr>
              <w:jc w:val="left"/>
              <w:rPr>
                <w:color w:val="FF0000"/>
              </w:rPr>
            </w:pPr>
            <w:r w:rsidRPr="00F43DD6">
              <w:rPr>
                <w:color w:val="FF0000"/>
              </w:rPr>
              <w:t>Sterilization of health care products - Radiation - Part 1: Requirements for development, validation and routine control of a sterilization process for medical devices [3]</w:t>
            </w:r>
          </w:p>
        </w:tc>
        <w:tc>
          <w:tcPr>
            <w:tcW w:w="2866" w:type="dxa"/>
            <w:vAlign w:val="center"/>
          </w:tcPr>
          <w:p w14:paraId="56825C26" w14:textId="3629DE6E" w:rsidR="00253C4F" w:rsidRDefault="00253C4F" w:rsidP="00253C4F">
            <w:pPr>
              <w:jc w:val="left"/>
            </w:pPr>
            <w:r w:rsidRPr="00253C4F">
              <w:rPr>
                <w:highlight w:val="yellow"/>
              </w:rPr>
              <w:t>Sterilization</w:t>
            </w:r>
          </w:p>
        </w:tc>
      </w:tr>
      <w:tr w:rsidR="00253C4F" w14:paraId="33DBE77F" w14:textId="77777777" w:rsidTr="00756B09">
        <w:tc>
          <w:tcPr>
            <w:tcW w:w="2518" w:type="dxa"/>
            <w:vAlign w:val="center"/>
          </w:tcPr>
          <w:p w14:paraId="2438A42E" w14:textId="2A0A1CB2" w:rsidR="00253C4F" w:rsidRPr="00F43DD6" w:rsidRDefault="00253C4F" w:rsidP="00253C4F">
            <w:pPr>
              <w:jc w:val="left"/>
              <w:rPr>
                <w:color w:val="FF0000"/>
              </w:rPr>
            </w:pPr>
            <w:r w:rsidRPr="00F43DD6">
              <w:rPr>
                <w:color w:val="FF0000"/>
              </w:rPr>
              <w:t>EN ISO 11737-2:2020</w:t>
            </w:r>
          </w:p>
        </w:tc>
        <w:tc>
          <w:tcPr>
            <w:tcW w:w="4678" w:type="dxa"/>
            <w:vAlign w:val="center"/>
          </w:tcPr>
          <w:p w14:paraId="2BFF4597" w14:textId="780D7A13" w:rsidR="00253C4F" w:rsidRPr="00F43DD6" w:rsidRDefault="00253C4F" w:rsidP="00253C4F">
            <w:pPr>
              <w:jc w:val="left"/>
              <w:rPr>
                <w:color w:val="FF0000"/>
              </w:rPr>
            </w:pPr>
            <w:r w:rsidRPr="00F43DD6">
              <w:rPr>
                <w:color w:val="FF0000"/>
              </w:rPr>
              <w:t xml:space="preserve">Sterilization of health care products - Microbiological methods - Part 2: Tests of sterility performed in the definition, validation </w:t>
            </w:r>
            <w:r w:rsidRPr="00F43DD6">
              <w:rPr>
                <w:color w:val="FF0000"/>
              </w:rPr>
              <w:lastRenderedPageBreak/>
              <w:t>and maintenance of a sterilization process [4]</w:t>
            </w:r>
          </w:p>
        </w:tc>
        <w:tc>
          <w:tcPr>
            <w:tcW w:w="2866" w:type="dxa"/>
            <w:vAlign w:val="center"/>
          </w:tcPr>
          <w:p w14:paraId="7B1D7344" w14:textId="244535F4" w:rsidR="00253C4F" w:rsidRDefault="00253C4F" w:rsidP="00253C4F">
            <w:pPr>
              <w:jc w:val="left"/>
            </w:pPr>
            <w:r w:rsidRPr="00253C4F">
              <w:rPr>
                <w:highlight w:val="yellow"/>
              </w:rPr>
              <w:lastRenderedPageBreak/>
              <w:t>Sterilization</w:t>
            </w:r>
          </w:p>
        </w:tc>
      </w:tr>
      <w:tr w:rsidR="00253C4F" w14:paraId="6C0D6A82" w14:textId="77777777" w:rsidTr="00756B09">
        <w:tc>
          <w:tcPr>
            <w:tcW w:w="2518" w:type="dxa"/>
            <w:vAlign w:val="center"/>
          </w:tcPr>
          <w:p w14:paraId="76024762" w14:textId="04049BA5" w:rsidR="00253C4F" w:rsidRPr="00F43DD6" w:rsidRDefault="00253C4F" w:rsidP="00253C4F">
            <w:pPr>
              <w:jc w:val="left"/>
              <w:rPr>
                <w:color w:val="FF0000"/>
              </w:rPr>
            </w:pPr>
            <w:r w:rsidRPr="00F43DD6">
              <w:rPr>
                <w:color w:val="FF0000"/>
              </w:rPr>
              <w:t>25424:2019/A1:2022</w:t>
            </w:r>
          </w:p>
        </w:tc>
        <w:tc>
          <w:tcPr>
            <w:tcW w:w="4678" w:type="dxa"/>
            <w:vAlign w:val="center"/>
          </w:tcPr>
          <w:p w14:paraId="50798478" w14:textId="5E85FA68" w:rsidR="00253C4F" w:rsidRPr="00F43DD6" w:rsidRDefault="00253C4F" w:rsidP="00253C4F">
            <w:pPr>
              <w:jc w:val="left"/>
              <w:rPr>
                <w:color w:val="FF0000"/>
              </w:rPr>
            </w:pPr>
            <w:r w:rsidRPr="00F43DD6">
              <w:rPr>
                <w:color w:val="FF0000"/>
              </w:rPr>
              <w:t>Sterilisation of health care products – Low temperature steam and formaldehyde – Requirements for development, validation and routine control of a sterilisation process for medical devices [5]</w:t>
            </w:r>
          </w:p>
        </w:tc>
        <w:tc>
          <w:tcPr>
            <w:tcW w:w="2866" w:type="dxa"/>
            <w:vAlign w:val="center"/>
          </w:tcPr>
          <w:p w14:paraId="60DBD1D3" w14:textId="1C1F3B3F" w:rsidR="00253C4F" w:rsidRDefault="00253C4F" w:rsidP="00253C4F">
            <w:pPr>
              <w:jc w:val="left"/>
            </w:pPr>
            <w:r w:rsidRPr="00253C4F">
              <w:rPr>
                <w:highlight w:val="yellow"/>
              </w:rPr>
              <w:t>Sterilization</w:t>
            </w:r>
          </w:p>
        </w:tc>
      </w:tr>
      <w:tr w:rsidR="00253C4F" w14:paraId="21AB527B" w14:textId="77777777" w:rsidTr="00756B09">
        <w:tc>
          <w:tcPr>
            <w:tcW w:w="2518" w:type="dxa"/>
            <w:vAlign w:val="center"/>
          </w:tcPr>
          <w:p w14:paraId="4F491309" w14:textId="793E46FD" w:rsidR="00253C4F" w:rsidRPr="00F43DD6" w:rsidRDefault="00253C4F" w:rsidP="00253C4F">
            <w:pPr>
              <w:jc w:val="left"/>
              <w:rPr>
                <w:color w:val="FF0000"/>
              </w:rPr>
            </w:pPr>
            <w:r w:rsidRPr="00F43DD6">
              <w:rPr>
                <w:color w:val="FF0000"/>
              </w:rPr>
              <w:t>EN ISO 10993-9:2021</w:t>
            </w:r>
          </w:p>
        </w:tc>
        <w:tc>
          <w:tcPr>
            <w:tcW w:w="4678" w:type="dxa"/>
            <w:vAlign w:val="center"/>
          </w:tcPr>
          <w:p w14:paraId="416C1384" w14:textId="0EDDF9FD" w:rsidR="00253C4F" w:rsidRPr="00F43DD6" w:rsidRDefault="00253C4F" w:rsidP="00253C4F">
            <w:pPr>
              <w:jc w:val="left"/>
              <w:rPr>
                <w:color w:val="FF0000"/>
              </w:rPr>
            </w:pPr>
            <w:r w:rsidRPr="00F43DD6">
              <w:rPr>
                <w:color w:val="FF0000"/>
              </w:rPr>
              <w:t>Biological evaluation of medical devices - Part 9: Framework for identification and quantification of potential degradation products [6]</w:t>
            </w:r>
          </w:p>
        </w:tc>
        <w:tc>
          <w:tcPr>
            <w:tcW w:w="2866" w:type="dxa"/>
            <w:vAlign w:val="center"/>
          </w:tcPr>
          <w:p w14:paraId="6A358139" w14:textId="7BD7F136" w:rsidR="00253C4F" w:rsidRDefault="00253C4F" w:rsidP="00253C4F">
            <w:pPr>
              <w:jc w:val="left"/>
            </w:pPr>
            <w:r w:rsidRPr="00253C4F">
              <w:rPr>
                <w:highlight w:val="yellow"/>
              </w:rPr>
              <w:t>Biocompatibility</w:t>
            </w:r>
          </w:p>
        </w:tc>
      </w:tr>
      <w:tr w:rsidR="00253C4F" w14:paraId="12434D87" w14:textId="77777777" w:rsidTr="00756B09">
        <w:tc>
          <w:tcPr>
            <w:tcW w:w="2518" w:type="dxa"/>
            <w:vAlign w:val="center"/>
          </w:tcPr>
          <w:p w14:paraId="3C7926AE" w14:textId="0FEA1039" w:rsidR="00253C4F" w:rsidRPr="00F43DD6" w:rsidRDefault="00253C4F" w:rsidP="00253C4F">
            <w:pPr>
              <w:jc w:val="left"/>
              <w:rPr>
                <w:color w:val="FF0000"/>
              </w:rPr>
            </w:pPr>
            <w:r w:rsidRPr="00F43DD6">
              <w:rPr>
                <w:color w:val="FF0000"/>
              </w:rPr>
              <w:t>EN ISO 10993-12:2021</w:t>
            </w:r>
          </w:p>
        </w:tc>
        <w:tc>
          <w:tcPr>
            <w:tcW w:w="4678" w:type="dxa"/>
            <w:vAlign w:val="center"/>
          </w:tcPr>
          <w:p w14:paraId="0ECDC458" w14:textId="69487EF5" w:rsidR="00253C4F" w:rsidRPr="00F43DD6" w:rsidRDefault="00253C4F" w:rsidP="00253C4F">
            <w:pPr>
              <w:jc w:val="left"/>
              <w:rPr>
                <w:color w:val="FF0000"/>
              </w:rPr>
            </w:pPr>
            <w:r w:rsidRPr="00F43DD6">
              <w:rPr>
                <w:color w:val="FF0000"/>
              </w:rPr>
              <w:t>Biological evaluation of medical devices - Part 12: Sample preparation and reference materials [7}</w:t>
            </w:r>
          </w:p>
        </w:tc>
        <w:tc>
          <w:tcPr>
            <w:tcW w:w="2866" w:type="dxa"/>
            <w:vAlign w:val="center"/>
          </w:tcPr>
          <w:p w14:paraId="06F2235D" w14:textId="6F22228C" w:rsidR="00253C4F" w:rsidRDefault="00253C4F" w:rsidP="00253C4F">
            <w:pPr>
              <w:jc w:val="left"/>
            </w:pPr>
            <w:r w:rsidRPr="00253C4F">
              <w:rPr>
                <w:highlight w:val="yellow"/>
              </w:rPr>
              <w:t>Biocompatibility</w:t>
            </w:r>
          </w:p>
        </w:tc>
      </w:tr>
      <w:tr w:rsidR="00253C4F" w14:paraId="2C703F3A" w14:textId="77777777" w:rsidTr="00756B09">
        <w:tc>
          <w:tcPr>
            <w:tcW w:w="2518" w:type="dxa"/>
            <w:vAlign w:val="center"/>
          </w:tcPr>
          <w:p w14:paraId="28CEB70B" w14:textId="643F3C4D" w:rsidR="00253C4F" w:rsidRPr="00F43DD6" w:rsidRDefault="00253C4F" w:rsidP="00253C4F">
            <w:pPr>
              <w:jc w:val="left"/>
              <w:rPr>
                <w:color w:val="FF0000"/>
              </w:rPr>
            </w:pPr>
            <w:r w:rsidRPr="00F43DD6">
              <w:rPr>
                <w:color w:val="FF0000"/>
              </w:rPr>
              <w:t>EN ISO 11737-1:2018</w:t>
            </w:r>
          </w:p>
        </w:tc>
        <w:tc>
          <w:tcPr>
            <w:tcW w:w="4678" w:type="dxa"/>
            <w:vAlign w:val="center"/>
          </w:tcPr>
          <w:p w14:paraId="1D50FA9D" w14:textId="0E563602" w:rsidR="00253C4F" w:rsidRPr="00F43DD6" w:rsidRDefault="00253C4F" w:rsidP="00253C4F">
            <w:pPr>
              <w:jc w:val="left"/>
              <w:rPr>
                <w:color w:val="FF0000"/>
              </w:rPr>
            </w:pPr>
            <w:r w:rsidRPr="00F43DD6">
              <w:rPr>
                <w:color w:val="FF0000"/>
              </w:rPr>
              <w:t>Sterilization of health care products - Microbiological methods - Part 1: Determination of a population of microorganisms on products [8]</w:t>
            </w:r>
          </w:p>
        </w:tc>
        <w:tc>
          <w:tcPr>
            <w:tcW w:w="2866" w:type="dxa"/>
            <w:vAlign w:val="center"/>
          </w:tcPr>
          <w:p w14:paraId="46AB15CD" w14:textId="0072897E" w:rsidR="00253C4F" w:rsidRDefault="00253C4F" w:rsidP="00253C4F">
            <w:pPr>
              <w:jc w:val="left"/>
            </w:pPr>
            <w:r w:rsidRPr="00253C4F">
              <w:rPr>
                <w:highlight w:val="yellow"/>
              </w:rPr>
              <w:t>Sterilization</w:t>
            </w:r>
          </w:p>
        </w:tc>
      </w:tr>
      <w:tr w:rsidR="00253C4F" w14:paraId="6BAC0DC5" w14:textId="77777777" w:rsidTr="00756B09">
        <w:tc>
          <w:tcPr>
            <w:tcW w:w="2518" w:type="dxa"/>
            <w:vAlign w:val="center"/>
          </w:tcPr>
          <w:p w14:paraId="2B294549" w14:textId="462239BB" w:rsidR="00253C4F" w:rsidRPr="00F43DD6" w:rsidRDefault="00253C4F" w:rsidP="00253C4F">
            <w:pPr>
              <w:jc w:val="left"/>
              <w:rPr>
                <w:color w:val="FF0000"/>
              </w:rPr>
            </w:pPr>
            <w:r w:rsidRPr="00F43DD6">
              <w:rPr>
                <w:color w:val="FF0000"/>
              </w:rPr>
              <w:t>EN ISO 13408-6:2021</w:t>
            </w:r>
          </w:p>
        </w:tc>
        <w:tc>
          <w:tcPr>
            <w:tcW w:w="4678" w:type="dxa"/>
            <w:vAlign w:val="center"/>
          </w:tcPr>
          <w:p w14:paraId="6953C866" w14:textId="02985578" w:rsidR="00253C4F" w:rsidRPr="00F43DD6" w:rsidRDefault="00253C4F" w:rsidP="00253C4F">
            <w:pPr>
              <w:jc w:val="left"/>
              <w:rPr>
                <w:color w:val="FF0000"/>
              </w:rPr>
            </w:pPr>
            <w:r w:rsidRPr="00F43DD6">
              <w:rPr>
                <w:color w:val="FF0000"/>
              </w:rPr>
              <w:t>Aseptic processing of health care products - Part 6: Isolator systems [9]</w:t>
            </w:r>
          </w:p>
        </w:tc>
        <w:tc>
          <w:tcPr>
            <w:tcW w:w="2866" w:type="dxa"/>
            <w:vAlign w:val="center"/>
          </w:tcPr>
          <w:p w14:paraId="4E3BEAD0" w14:textId="4725B0A3" w:rsidR="00253C4F" w:rsidRDefault="00253C4F" w:rsidP="00253C4F">
            <w:pPr>
              <w:jc w:val="left"/>
            </w:pPr>
            <w:r w:rsidRPr="00253C4F">
              <w:rPr>
                <w:highlight w:val="yellow"/>
              </w:rPr>
              <w:t>Sterilization</w:t>
            </w:r>
          </w:p>
        </w:tc>
      </w:tr>
      <w:tr w:rsidR="00253C4F" w14:paraId="2EABEB58" w14:textId="77777777" w:rsidTr="00756B09">
        <w:tc>
          <w:tcPr>
            <w:tcW w:w="2518" w:type="dxa"/>
            <w:vAlign w:val="center"/>
          </w:tcPr>
          <w:p w14:paraId="057A16DA" w14:textId="31CB2D10" w:rsidR="00253C4F" w:rsidRPr="00F43DD6" w:rsidRDefault="00253C4F" w:rsidP="00253C4F">
            <w:pPr>
              <w:jc w:val="left"/>
              <w:rPr>
                <w:color w:val="FF0000"/>
              </w:rPr>
            </w:pPr>
            <w:r w:rsidRPr="00F43DD6">
              <w:rPr>
                <w:color w:val="FF0000"/>
              </w:rPr>
              <w:t>EN ISO 13485:2016/A11:2021</w:t>
            </w:r>
          </w:p>
        </w:tc>
        <w:tc>
          <w:tcPr>
            <w:tcW w:w="4678" w:type="dxa"/>
            <w:vAlign w:val="center"/>
          </w:tcPr>
          <w:p w14:paraId="37CB5BB3" w14:textId="3B575866" w:rsidR="00253C4F" w:rsidRPr="00F43DD6" w:rsidRDefault="00253C4F" w:rsidP="00253C4F">
            <w:pPr>
              <w:jc w:val="left"/>
              <w:rPr>
                <w:color w:val="FF0000"/>
              </w:rPr>
            </w:pPr>
            <w:r w:rsidRPr="00F43DD6">
              <w:rPr>
                <w:color w:val="FF0000"/>
              </w:rPr>
              <w:t>Medical devices – Quality management systems – Requirements for regulatory purposes [10]</w:t>
            </w:r>
          </w:p>
        </w:tc>
        <w:tc>
          <w:tcPr>
            <w:tcW w:w="2866" w:type="dxa"/>
            <w:vAlign w:val="center"/>
          </w:tcPr>
          <w:p w14:paraId="0F89A5D7" w14:textId="3612D56B" w:rsidR="00253C4F" w:rsidRDefault="00253C4F" w:rsidP="00253C4F">
            <w:pPr>
              <w:jc w:val="left"/>
            </w:pPr>
            <w:r w:rsidRPr="00253C4F">
              <w:rPr>
                <w:highlight w:val="yellow"/>
              </w:rPr>
              <w:t>Quality management system</w:t>
            </w:r>
          </w:p>
        </w:tc>
      </w:tr>
      <w:tr w:rsidR="00253C4F" w14:paraId="5EC09FBC" w14:textId="77777777" w:rsidTr="00756B09">
        <w:tc>
          <w:tcPr>
            <w:tcW w:w="2518" w:type="dxa"/>
            <w:vAlign w:val="center"/>
          </w:tcPr>
          <w:p w14:paraId="08A202B5" w14:textId="28008DF9" w:rsidR="00253C4F" w:rsidRPr="00F43DD6" w:rsidRDefault="00253C4F" w:rsidP="00253C4F">
            <w:pPr>
              <w:jc w:val="left"/>
              <w:rPr>
                <w:color w:val="FF0000"/>
              </w:rPr>
            </w:pPr>
            <w:r w:rsidRPr="00F43DD6">
              <w:rPr>
                <w:color w:val="FF0000"/>
              </w:rPr>
              <w:t>EN ISO 14160:2021</w:t>
            </w:r>
          </w:p>
        </w:tc>
        <w:tc>
          <w:tcPr>
            <w:tcW w:w="4678" w:type="dxa"/>
            <w:vAlign w:val="center"/>
          </w:tcPr>
          <w:p w14:paraId="4A4E9A91" w14:textId="2C2778A5" w:rsidR="00253C4F" w:rsidRPr="00F43DD6" w:rsidRDefault="00253C4F" w:rsidP="00253C4F">
            <w:pPr>
              <w:jc w:val="left"/>
              <w:rPr>
                <w:color w:val="FF0000"/>
              </w:rPr>
            </w:pPr>
            <w:r w:rsidRPr="00F43DD6">
              <w:rPr>
                <w:color w:val="FF0000"/>
              </w:rPr>
              <w:t>Sterilization of health care products - Liquid chemical sterilizing agents for single-use medical devices utilizing animal tissues and their derivatives - Requirements for characterization, development, validation and routine control of a sterilization process for medical devices [11]</w:t>
            </w:r>
          </w:p>
        </w:tc>
        <w:tc>
          <w:tcPr>
            <w:tcW w:w="2866" w:type="dxa"/>
            <w:vAlign w:val="center"/>
          </w:tcPr>
          <w:p w14:paraId="448C8B16" w14:textId="3354F71D" w:rsidR="00253C4F" w:rsidRDefault="00253C4F" w:rsidP="00253C4F">
            <w:pPr>
              <w:jc w:val="left"/>
            </w:pPr>
            <w:r w:rsidRPr="00253C4F">
              <w:rPr>
                <w:highlight w:val="yellow"/>
              </w:rPr>
              <w:t>Sterilization</w:t>
            </w:r>
          </w:p>
        </w:tc>
      </w:tr>
      <w:tr w:rsidR="00253C4F" w14:paraId="12FCAE18" w14:textId="77777777" w:rsidTr="00756B09">
        <w:tc>
          <w:tcPr>
            <w:tcW w:w="2518" w:type="dxa"/>
            <w:vAlign w:val="center"/>
          </w:tcPr>
          <w:p w14:paraId="5B87C090" w14:textId="556D24BF" w:rsidR="00253C4F" w:rsidRPr="00F43DD6" w:rsidRDefault="00253C4F" w:rsidP="00253C4F">
            <w:pPr>
              <w:jc w:val="left"/>
              <w:rPr>
                <w:color w:val="FF0000"/>
              </w:rPr>
            </w:pPr>
            <w:r w:rsidRPr="00F43DD6">
              <w:rPr>
                <w:color w:val="FF0000"/>
              </w:rPr>
              <w:t>EN ISO 15223-1:2021</w:t>
            </w:r>
          </w:p>
        </w:tc>
        <w:tc>
          <w:tcPr>
            <w:tcW w:w="4678" w:type="dxa"/>
            <w:vAlign w:val="center"/>
          </w:tcPr>
          <w:p w14:paraId="01F32FCE" w14:textId="6FB94936" w:rsidR="00253C4F" w:rsidRPr="00F43DD6" w:rsidRDefault="00253C4F" w:rsidP="00253C4F">
            <w:pPr>
              <w:jc w:val="left"/>
              <w:rPr>
                <w:color w:val="FF0000"/>
              </w:rPr>
            </w:pPr>
            <w:r w:rsidRPr="00F43DD6">
              <w:rPr>
                <w:color w:val="FF0000"/>
              </w:rPr>
              <w:t>Medical devices - Symbols to be used with information to be supplied by the manufacturer - Part 1: General requirements [12]</w:t>
            </w:r>
          </w:p>
        </w:tc>
        <w:tc>
          <w:tcPr>
            <w:tcW w:w="2866" w:type="dxa"/>
            <w:vAlign w:val="center"/>
          </w:tcPr>
          <w:p w14:paraId="697D9CFE" w14:textId="1BB53F05" w:rsidR="00253C4F" w:rsidRDefault="00DC5D3B" w:rsidP="00253C4F">
            <w:pPr>
              <w:jc w:val="left"/>
            </w:pPr>
            <w:r w:rsidRPr="00DC5D3B">
              <w:rPr>
                <w:highlight w:val="yellow"/>
              </w:rPr>
              <w:t>Labeling</w:t>
            </w:r>
          </w:p>
        </w:tc>
      </w:tr>
      <w:tr w:rsidR="00DC5D3B" w14:paraId="71FC0229" w14:textId="77777777" w:rsidTr="00756B09">
        <w:tc>
          <w:tcPr>
            <w:tcW w:w="2518" w:type="dxa"/>
            <w:vAlign w:val="center"/>
          </w:tcPr>
          <w:p w14:paraId="4D0048C9" w14:textId="1D048BE9" w:rsidR="00DC5D3B" w:rsidRPr="00F43DD6" w:rsidRDefault="00DC5D3B" w:rsidP="00DC5D3B">
            <w:pPr>
              <w:jc w:val="left"/>
              <w:rPr>
                <w:color w:val="FF0000"/>
              </w:rPr>
            </w:pPr>
            <w:r w:rsidRPr="00F43DD6">
              <w:rPr>
                <w:color w:val="FF0000"/>
              </w:rPr>
              <w:t>EN ISO 17664-1:2021</w:t>
            </w:r>
          </w:p>
        </w:tc>
        <w:tc>
          <w:tcPr>
            <w:tcW w:w="4678" w:type="dxa"/>
            <w:vAlign w:val="center"/>
          </w:tcPr>
          <w:p w14:paraId="1EF512C6" w14:textId="45999019" w:rsidR="00DC5D3B" w:rsidRPr="00F43DD6" w:rsidRDefault="00DC5D3B" w:rsidP="00DC5D3B">
            <w:pPr>
              <w:jc w:val="left"/>
              <w:rPr>
                <w:color w:val="FF0000"/>
              </w:rPr>
            </w:pPr>
            <w:r w:rsidRPr="00F43DD6">
              <w:rPr>
                <w:color w:val="FF0000"/>
              </w:rPr>
              <w:t>Processing of health care products - Information to be provided by the medical device manufacturer for the processing of medical devices - Part 1: Critical and semi-critical medical devices [13]</w:t>
            </w:r>
          </w:p>
        </w:tc>
        <w:tc>
          <w:tcPr>
            <w:tcW w:w="2866" w:type="dxa"/>
            <w:vAlign w:val="center"/>
          </w:tcPr>
          <w:p w14:paraId="3ADE01E8" w14:textId="4D69DE21" w:rsidR="00DC5D3B" w:rsidRDefault="00DC5D3B" w:rsidP="00DC5D3B">
            <w:pPr>
              <w:jc w:val="left"/>
            </w:pPr>
            <w:r w:rsidRPr="00DC5D3B">
              <w:rPr>
                <w:highlight w:val="yellow"/>
              </w:rPr>
              <w:t>Labeling</w:t>
            </w:r>
          </w:p>
        </w:tc>
      </w:tr>
      <w:tr w:rsidR="00DC5D3B" w14:paraId="2011BE1B" w14:textId="77777777" w:rsidTr="00756B09">
        <w:tc>
          <w:tcPr>
            <w:tcW w:w="2518" w:type="dxa"/>
            <w:vAlign w:val="center"/>
          </w:tcPr>
          <w:p w14:paraId="41D81644" w14:textId="29C334AF" w:rsidR="00DC5D3B" w:rsidRPr="00F43DD6" w:rsidRDefault="00DC5D3B" w:rsidP="00DC5D3B">
            <w:pPr>
              <w:jc w:val="left"/>
              <w:rPr>
                <w:color w:val="FF0000"/>
              </w:rPr>
            </w:pPr>
            <w:r w:rsidRPr="00F43DD6">
              <w:rPr>
                <w:color w:val="FF0000"/>
              </w:rPr>
              <w:t>EN IEC 60601-2-83:2020/A11:2021</w:t>
            </w:r>
          </w:p>
        </w:tc>
        <w:tc>
          <w:tcPr>
            <w:tcW w:w="4678" w:type="dxa"/>
            <w:vAlign w:val="center"/>
          </w:tcPr>
          <w:p w14:paraId="19DB07CC" w14:textId="14A6D7FE" w:rsidR="00DC5D3B" w:rsidRPr="00F43DD6" w:rsidRDefault="00DC5D3B" w:rsidP="00DC5D3B">
            <w:pPr>
              <w:jc w:val="left"/>
              <w:rPr>
                <w:color w:val="FF0000"/>
              </w:rPr>
            </w:pPr>
            <w:r w:rsidRPr="00F43DD6">
              <w:rPr>
                <w:color w:val="FF0000"/>
              </w:rPr>
              <w:t>Medical electrical equipment - Part 2-83: Particular requirements for the basic safety and essential performance of home light therapy equipment [14]</w:t>
            </w:r>
          </w:p>
        </w:tc>
        <w:tc>
          <w:tcPr>
            <w:tcW w:w="2866" w:type="dxa"/>
            <w:vAlign w:val="center"/>
          </w:tcPr>
          <w:p w14:paraId="02C6CF77" w14:textId="63B6A25A" w:rsidR="00DC5D3B" w:rsidRPr="00AC0055" w:rsidRDefault="00DC5D3B" w:rsidP="00DC5D3B">
            <w:pPr>
              <w:jc w:val="left"/>
              <w:rPr>
                <w:highlight w:val="yellow"/>
              </w:rPr>
            </w:pPr>
            <w:r w:rsidRPr="00AC0055">
              <w:rPr>
                <w:highlight w:val="yellow"/>
              </w:rPr>
              <w:t>Electrical equipment</w:t>
            </w:r>
          </w:p>
        </w:tc>
      </w:tr>
      <w:tr w:rsidR="00DC5D3B" w14:paraId="4568535D" w14:textId="77777777" w:rsidTr="00756B09">
        <w:tc>
          <w:tcPr>
            <w:tcW w:w="2518" w:type="dxa"/>
            <w:vAlign w:val="center"/>
          </w:tcPr>
          <w:p w14:paraId="2344AD6F" w14:textId="0EEAA1E6" w:rsidR="00DC5D3B" w:rsidRPr="00F43DD6" w:rsidRDefault="00DC5D3B" w:rsidP="00DC5D3B">
            <w:pPr>
              <w:jc w:val="left"/>
              <w:rPr>
                <w:color w:val="FF0000"/>
              </w:rPr>
            </w:pPr>
            <w:r w:rsidRPr="00F43DD6">
              <w:rPr>
                <w:color w:val="FF0000"/>
              </w:rPr>
              <w:t>EN 285:2015+A1:2021</w:t>
            </w:r>
          </w:p>
        </w:tc>
        <w:tc>
          <w:tcPr>
            <w:tcW w:w="4678" w:type="dxa"/>
            <w:vAlign w:val="center"/>
          </w:tcPr>
          <w:p w14:paraId="1CBE328D" w14:textId="3D8AB022" w:rsidR="00DC5D3B" w:rsidRPr="00F43DD6" w:rsidRDefault="00DC5D3B" w:rsidP="00DC5D3B">
            <w:pPr>
              <w:jc w:val="left"/>
              <w:rPr>
                <w:color w:val="FF0000"/>
              </w:rPr>
            </w:pPr>
            <w:r w:rsidRPr="00F43DD6">
              <w:rPr>
                <w:color w:val="FF0000"/>
              </w:rPr>
              <w:t>Sterilization – Steam sterilizers – Large sterilizers [15]</w:t>
            </w:r>
          </w:p>
        </w:tc>
        <w:tc>
          <w:tcPr>
            <w:tcW w:w="2866" w:type="dxa"/>
            <w:vAlign w:val="center"/>
          </w:tcPr>
          <w:p w14:paraId="47A5F9AE" w14:textId="5CAE3D34" w:rsidR="00DC5D3B" w:rsidRDefault="00DC5D3B" w:rsidP="00DC5D3B">
            <w:pPr>
              <w:jc w:val="left"/>
            </w:pPr>
            <w:r w:rsidRPr="00253C4F">
              <w:rPr>
                <w:highlight w:val="yellow"/>
              </w:rPr>
              <w:t>Sterilization</w:t>
            </w:r>
          </w:p>
        </w:tc>
      </w:tr>
      <w:tr w:rsidR="00DC5D3B" w14:paraId="0F235290" w14:textId="77777777" w:rsidTr="00756B09">
        <w:tc>
          <w:tcPr>
            <w:tcW w:w="2518" w:type="dxa"/>
            <w:vAlign w:val="center"/>
          </w:tcPr>
          <w:p w14:paraId="4DAE77A2" w14:textId="35AB7A59" w:rsidR="00DC5D3B" w:rsidRPr="00F43DD6" w:rsidRDefault="00DC5D3B" w:rsidP="00DC5D3B">
            <w:pPr>
              <w:jc w:val="left"/>
              <w:rPr>
                <w:color w:val="FF0000"/>
              </w:rPr>
            </w:pPr>
            <w:r w:rsidRPr="00F43DD6">
              <w:rPr>
                <w:color w:val="FF0000"/>
              </w:rPr>
              <w:t>EN ISO 14971:2019/A11:2021</w:t>
            </w:r>
          </w:p>
        </w:tc>
        <w:tc>
          <w:tcPr>
            <w:tcW w:w="4678" w:type="dxa"/>
            <w:vAlign w:val="center"/>
          </w:tcPr>
          <w:p w14:paraId="39306BA7" w14:textId="0A1C546A" w:rsidR="00DC5D3B" w:rsidRPr="00F43DD6" w:rsidRDefault="00DC5D3B" w:rsidP="00DC5D3B">
            <w:pPr>
              <w:jc w:val="left"/>
              <w:rPr>
                <w:color w:val="FF0000"/>
              </w:rPr>
            </w:pPr>
            <w:r w:rsidRPr="00F43DD6">
              <w:rPr>
                <w:color w:val="FF0000"/>
              </w:rPr>
              <w:t>Medical devices – Application of risk management to medical devices [16]</w:t>
            </w:r>
          </w:p>
        </w:tc>
        <w:tc>
          <w:tcPr>
            <w:tcW w:w="2866" w:type="dxa"/>
            <w:vAlign w:val="center"/>
          </w:tcPr>
          <w:p w14:paraId="119EAB6E" w14:textId="629AB762" w:rsidR="00DC5D3B" w:rsidRDefault="00DC5D3B" w:rsidP="00DC5D3B">
            <w:pPr>
              <w:jc w:val="left"/>
            </w:pPr>
            <w:r w:rsidRPr="00253C4F">
              <w:rPr>
                <w:highlight w:val="yellow"/>
              </w:rPr>
              <w:t>Risk management</w:t>
            </w:r>
          </w:p>
        </w:tc>
      </w:tr>
      <w:tr w:rsidR="00DC5D3B" w14:paraId="0D518DBD" w14:textId="77777777" w:rsidTr="00756B09">
        <w:tc>
          <w:tcPr>
            <w:tcW w:w="2518" w:type="dxa"/>
            <w:vAlign w:val="center"/>
          </w:tcPr>
          <w:p w14:paraId="37E4B436" w14:textId="09B79B42" w:rsidR="00DC5D3B" w:rsidRPr="00F43DD6" w:rsidRDefault="00DC5D3B" w:rsidP="00DC5D3B">
            <w:pPr>
              <w:jc w:val="left"/>
              <w:rPr>
                <w:color w:val="FF0000"/>
              </w:rPr>
            </w:pPr>
            <w:r w:rsidRPr="00F43DD6">
              <w:rPr>
                <w:color w:val="FF0000"/>
              </w:rPr>
              <w:t>EN ISO 10993-10:2023</w:t>
            </w:r>
          </w:p>
        </w:tc>
        <w:tc>
          <w:tcPr>
            <w:tcW w:w="4678" w:type="dxa"/>
            <w:vAlign w:val="center"/>
          </w:tcPr>
          <w:p w14:paraId="5BE250A9" w14:textId="79F92A41" w:rsidR="00DC5D3B" w:rsidRPr="00F43DD6" w:rsidRDefault="00DC5D3B" w:rsidP="00DC5D3B">
            <w:pPr>
              <w:jc w:val="left"/>
              <w:rPr>
                <w:color w:val="FF0000"/>
              </w:rPr>
            </w:pPr>
            <w:r w:rsidRPr="00F43DD6">
              <w:rPr>
                <w:color w:val="FF0000"/>
              </w:rPr>
              <w:t>Biological evaluation of medical devices – Part 10: Tests for skin sensitization [17]</w:t>
            </w:r>
          </w:p>
        </w:tc>
        <w:tc>
          <w:tcPr>
            <w:tcW w:w="2866" w:type="dxa"/>
            <w:vAlign w:val="center"/>
          </w:tcPr>
          <w:p w14:paraId="143D4375" w14:textId="6F715095" w:rsidR="00DC5D3B" w:rsidRDefault="00DC5D3B" w:rsidP="00DC5D3B">
            <w:pPr>
              <w:jc w:val="left"/>
            </w:pPr>
            <w:r w:rsidRPr="00253C4F">
              <w:rPr>
                <w:highlight w:val="yellow"/>
              </w:rPr>
              <w:t>Biocompatibility</w:t>
            </w:r>
          </w:p>
        </w:tc>
      </w:tr>
      <w:tr w:rsidR="00DC5D3B" w14:paraId="08FB7B46" w14:textId="77777777" w:rsidTr="004420AF">
        <w:tc>
          <w:tcPr>
            <w:tcW w:w="10062" w:type="dxa"/>
            <w:gridSpan w:val="3"/>
            <w:vAlign w:val="center"/>
          </w:tcPr>
          <w:p w14:paraId="4B7BF88D" w14:textId="77777777" w:rsidR="00DC5D3B" w:rsidRDefault="00DC5D3B" w:rsidP="00DC5D3B">
            <w:pPr>
              <w:jc w:val="left"/>
              <w:rPr>
                <w:b/>
                <w:bCs/>
              </w:rPr>
            </w:pPr>
            <w:r w:rsidRPr="00B86CCD">
              <w:rPr>
                <w:b/>
                <w:bCs/>
              </w:rPr>
              <w:t>State of the art standards</w:t>
            </w:r>
          </w:p>
          <w:p w14:paraId="2B8ADAE0" w14:textId="7C2A0622" w:rsidR="006B1E24" w:rsidRPr="00633B5E" w:rsidRDefault="006B1E24" w:rsidP="00DC5D3B">
            <w:pPr>
              <w:jc w:val="left"/>
            </w:pPr>
            <w:r w:rsidRPr="00633B5E">
              <w:rPr>
                <w:highlight w:val="yellow"/>
              </w:rPr>
              <w:t xml:space="preserve">List additional standards relevant to the device </w:t>
            </w:r>
            <w:r w:rsidR="006112C0">
              <w:rPr>
                <w:highlight w:val="yellow"/>
              </w:rPr>
              <w:t>that</w:t>
            </w:r>
            <w:r w:rsidRPr="00F636FF">
              <w:rPr>
                <w:highlight w:val="yellow"/>
              </w:rPr>
              <w:t xml:space="preserve"> represent</w:t>
            </w:r>
            <w:r w:rsidR="00633B5E" w:rsidRPr="00F636FF">
              <w:rPr>
                <w:highlight w:val="yellow"/>
              </w:rPr>
              <w:t xml:space="preserve"> the state of the art</w:t>
            </w:r>
            <w:r w:rsidR="000C159F" w:rsidRPr="00F636FF">
              <w:rPr>
                <w:highlight w:val="yellow"/>
              </w:rPr>
              <w:t xml:space="preserve"> (e.g</w:t>
            </w:r>
            <w:r w:rsidR="00F636FF" w:rsidRPr="00F636FF">
              <w:rPr>
                <w:highlight w:val="yellow"/>
              </w:rPr>
              <w:t>.</w:t>
            </w:r>
            <w:r w:rsidR="000C159F" w:rsidRPr="00F636FF">
              <w:rPr>
                <w:highlight w:val="yellow"/>
              </w:rPr>
              <w:t xml:space="preserve"> </w:t>
            </w:r>
            <w:r w:rsidR="00F636FF" w:rsidRPr="00F636FF">
              <w:rPr>
                <w:highlight w:val="yellow"/>
              </w:rPr>
              <w:t>other biocompatibility standards, usability standards, etc.)</w:t>
            </w:r>
          </w:p>
        </w:tc>
      </w:tr>
      <w:tr w:rsidR="000F730D" w14:paraId="254E98B6" w14:textId="77777777" w:rsidTr="00756B09">
        <w:tc>
          <w:tcPr>
            <w:tcW w:w="2518" w:type="dxa"/>
            <w:vAlign w:val="center"/>
          </w:tcPr>
          <w:p w14:paraId="7DC2C38C" w14:textId="0801F17E" w:rsidR="000F730D" w:rsidRPr="00F24C0C" w:rsidRDefault="000F730D" w:rsidP="000F730D">
            <w:pPr>
              <w:jc w:val="left"/>
            </w:pPr>
            <w:r w:rsidRPr="00067885">
              <w:rPr>
                <w:color w:val="FF0000"/>
              </w:rPr>
              <w:t>XXX</w:t>
            </w:r>
          </w:p>
        </w:tc>
        <w:tc>
          <w:tcPr>
            <w:tcW w:w="4678" w:type="dxa"/>
            <w:vAlign w:val="center"/>
          </w:tcPr>
          <w:p w14:paraId="33D4CB9E" w14:textId="4D9A1EA7" w:rsidR="000F730D" w:rsidRDefault="000F730D" w:rsidP="000F730D">
            <w:pPr>
              <w:jc w:val="left"/>
            </w:pPr>
            <w:r w:rsidRPr="00067885">
              <w:rPr>
                <w:color w:val="FF0000"/>
              </w:rPr>
              <w:t>XXX</w:t>
            </w:r>
          </w:p>
        </w:tc>
        <w:tc>
          <w:tcPr>
            <w:tcW w:w="2866" w:type="dxa"/>
            <w:vAlign w:val="center"/>
          </w:tcPr>
          <w:p w14:paraId="05944CAF" w14:textId="77777777" w:rsidR="000F730D" w:rsidRDefault="000F730D" w:rsidP="000F730D">
            <w:pPr>
              <w:jc w:val="left"/>
            </w:pPr>
          </w:p>
        </w:tc>
      </w:tr>
    </w:tbl>
    <w:p w14:paraId="7BB37DF3" w14:textId="77777777" w:rsidR="00620EA7" w:rsidRDefault="00620EA7"/>
    <w:sectPr w:rsidR="00620EA7" w:rsidSect="00C92EAD">
      <w:headerReference w:type="default" r:id="rId22"/>
      <w:footerReference w:type="default" r:id="rId23"/>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AD65" w14:textId="77777777" w:rsidR="008B5520" w:rsidRDefault="008B5520" w:rsidP="00D0337D">
      <w:r>
        <w:separator/>
      </w:r>
    </w:p>
  </w:endnote>
  <w:endnote w:type="continuationSeparator" w:id="0">
    <w:p w14:paraId="10B6C81D" w14:textId="77777777" w:rsidR="008B5520" w:rsidRDefault="008B5520"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2F53" w14:textId="1DAD7D14" w:rsidR="005D59B6" w:rsidRPr="00AD17E7" w:rsidRDefault="00AD17E7" w:rsidP="008F2A60">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F66" w14:textId="6925CF11" w:rsidR="00AB022A" w:rsidRPr="00AB022A" w:rsidRDefault="00AB022A">
    <w:pPr>
      <w:pStyle w:val="Footer"/>
    </w:pPr>
    <w:r w:rsidRPr="00AB022A">
      <w:t>Form Number: LEX-FORM-</w:t>
    </w:r>
    <w:r w:rsidR="000B2BAC">
      <w:t>WW</w:t>
    </w:r>
    <w:r w:rsidRPr="00AB022A">
      <w:t>-00</w:t>
    </w:r>
    <w:r w:rsidR="009B2007">
      <w:t>1</w:t>
    </w:r>
    <w:r w:rsidRPr="00AB022A">
      <w:t xml:space="preserve"> rev.1</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4F5D" w14:textId="77777777" w:rsidR="008B5520" w:rsidRDefault="008B5520" w:rsidP="00D0337D">
      <w:r>
        <w:separator/>
      </w:r>
    </w:p>
  </w:footnote>
  <w:footnote w:type="continuationSeparator" w:id="0">
    <w:p w14:paraId="30EF8D07" w14:textId="77777777" w:rsidR="008B5520" w:rsidRDefault="008B5520"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549D2" w14:paraId="2197E5E9" w14:textId="77777777" w:rsidTr="006A57A0">
      <w:trPr>
        <w:trHeight w:val="570"/>
      </w:trPr>
      <w:tc>
        <w:tcPr>
          <w:tcW w:w="1368" w:type="dxa"/>
          <w:tcBorders>
            <w:bottom w:val="nil"/>
          </w:tcBorders>
          <w:vAlign w:val="center"/>
        </w:tcPr>
        <w:p w14:paraId="57A838E0" w14:textId="7CA0448D" w:rsidR="001549D2" w:rsidRPr="00C92EAD" w:rsidRDefault="00C57E85" w:rsidP="001549D2">
          <w:pPr>
            <w:pStyle w:val="Header"/>
            <w:jc w:val="center"/>
            <w:rPr>
              <w:caps/>
              <w:sz w:val="28"/>
              <w:szCs w:val="28"/>
            </w:rPr>
          </w:pPr>
          <w:r>
            <w:rPr>
              <w:noProof/>
              <w:sz w:val="28"/>
              <w:szCs w:val="28"/>
            </w:rPr>
            <w:drawing>
              <wp:anchor distT="0" distB="0" distL="114300" distR="114300" simplePos="0" relativeHeight="251653632" behindDoc="0" locked="0" layoutInCell="1" allowOverlap="1" wp14:anchorId="264D847B" wp14:editId="5808A513">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B9ADAAA" w14:textId="05BFD6A1" w:rsidR="001549D2" w:rsidRDefault="00681A4D" w:rsidP="001549D2">
          <w:pPr>
            <w:tabs>
              <w:tab w:val="left" w:pos="1843"/>
              <w:tab w:val="center" w:pos="2268"/>
              <w:tab w:val="left" w:pos="2552"/>
            </w:tabs>
            <w:jc w:val="center"/>
          </w:pPr>
          <w:r>
            <w:rPr>
              <w:sz w:val="28"/>
              <w:szCs w:val="28"/>
            </w:rPr>
            <w:t>Clinical Data Search Protocol</w:t>
          </w:r>
        </w:p>
      </w:tc>
      <w:tc>
        <w:tcPr>
          <w:tcW w:w="2920" w:type="dxa"/>
          <w:vAlign w:val="center"/>
        </w:tcPr>
        <w:p w14:paraId="2EC39E2D" w14:textId="3B20027B" w:rsidR="001549D2" w:rsidRPr="00681A4D" w:rsidRDefault="00681A4D" w:rsidP="001549D2">
          <w:pPr>
            <w:tabs>
              <w:tab w:val="left" w:pos="1843"/>
              <w:tab w:val="center" w:pos="2268"/>
              <w:tab w:val="left" w:pos="2552"/>
            </w:tabs>
            <w:jc w:val="left"/>
            <w:rPr>
              <w:color w:val="FF0000"/>
            </w:rPr>
          </w:pPr>
          <w:r>
            <w:rPr>
              <w:color w:val="FF0000"/>
            </w:rPr>
            <w:t>[Doc Number] rev.Y</w:t>
          </w:r>
        </w:p>
      </w:tc>
    </w:tr>
  </w:tbl>
  <w:p w14:paraId="084A93B6" w14:textId="0AC8E28F" w:rsidR="005D59B6" w:rsidRPr="001549D2" w:rsidRDefault="005D59B6" w:rsidP="0015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8B4" w14:textId="3999B3AF" w:rsidR="000F0603" w:rsidRDefault="000F0603">
    <w:pPr>
      <w:pStyle w:val="Header"/>
    </w:pPr>
    <w:r>
      <w:rPr>
        <w:noProof/>
        <w:sz w:val="28"/>
        <w:szCs w:val="28"/>
      </w:rPr>
      <w:drawing>
        <wp:anchor distT="0" distB="0" distL="114300" distR="114300" simplePos="0" relativeHeight="251661824" behindDoc="0" locked="0" layoutInCell="1" allowOverlap="1" wp14:anchorId="588F2461" wp14:editId="23A50DA5">
          <wp:simplePos x="0" y="0"/>
          <wp:positionH relativeFrom="column">
            <wp:posOffset>-1905</wp:posOffset>
          </wp:positionH>
          <wp:positionV relativeFrom="paragraph">
            <wp:posOffset>-3810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0F0603" w14:paraId="69DB6A23" w14:textId="77777777" w:rsidTr="006A57A0">
      <w:trPr>
        <w:trHeight w:val="570"/>
      </w:trPr>
      <w:tc>
        <w:tcPr>
          <w:tcW w:w="1368" w:type="dxa"/>
          <w:tcBorders>
            <w:bottom w:val="nil"/>
          </w:tcBorders>
          <w:vAlign w:val="center"/>
        </w:tcPr>
        <w:p w14:paraId="7DCF8C77" w14:textId="77777777" w:rsidR="000F0603" w:rsidRPr="00C92EAD" w:rsidRDefault="000F0603" w:rsidP="000F0603">
          <w:pPr>
            <w:pStyle w:val="Header"/>
            <w:jc w:val="center"/>
            <w:rPr>
              <w:caps/>
              <w:sz w:val="28"/>
              <w:szCs w:val="28"/>
            </w:rPr>
          </w:pPr>
          <w:r>
            <w:rPr>
              <w:noProof/>
              <w:sz w:val="28"/>
              <w:szCs w:val="28"/>
            </w:rPr>
            <w:drawing>
              <wp:anchor distT="0" distB="0" distL="114300" distR="114300" simplePos="0" relativeHeight="251669504" behindDoc="0" locked="0" layoutInCell="1" allowOverlap="1" wp14:anchorId="523CFAB4" wp14:editId="086AAE60">
                <wp:simplePos x="0" y="0"/>
                <wp:positionH relativeFrom="column">
                  <wp:posOffset>-289560</wp:posOffset>
                </wp:positionH>
                <wp:positionV relativeFrom="paragraph">
                  <wp:posOffset>-137795</wp:posOffset>
                </wp:positionV>
                <wp:extent cx="880745" cy="662305"/>
                <wp:effectExtent l="0" t="0" r="0" b="0"/>
                <wp:wrapNone/>
                <wp:docPr id="1167142188" name="Picture 116714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1E4C9F74" w14:textId="3DB374B2" w:rsidR="000F0603" w:rsidRDefault="000B6CA1" w:rsidP="000F0603">
          <w:pPr>
            <w:tabs>
              <w:tab w:val="left" w:pos="1843"/>
              <w:tab w:val="center" w:pos="2268"/>
              <w:tab w:val="left" w:pos="2552"/>
            </w:tabs>
            <w:jc w:val="center"/>
          </w:pPr>
          <w:r>
            <w:rPr>
              <w:sz w:val="28"/>
              <w:szCs w:val="28"/>
            </w:rPr>
            <w:t>Regulatory Strategy Report</w:t>
          </w:r>
        </w:p>
      </w:tc>
      <w:tc>
        <w:tcPr>
          <w:tcW w:w="2920" w:type="dxa"/>
          <w:vAlign w:val="center"/>
        </w:tcPr>
        <w:p w14:paraId="7C8DE01B" w14:textId="77777777" w:rsidR="000F0603" w:rsidRPr="00681A4D" w:rsidRDefault="000F0603" w:rsidP="000F0603">
          <w:pPr>
            <w:tabs>
              <w:tab w:val="left" w:pos="1843"/>
              <w:tab w:val="center" w:pos="2268"/>
              <w:tab w:val="left" w:pos="2552"/>
            </w:tabs>
            <w:jc w:val="left"/>
            <w:rPr>
              <w:color w:val="FF0000"/>
            </w:rPr>
          </w:pPr>
          <w:r>
            <w:rPr>
              <w:color w:val="FF0000"/>
            </w:rPr>
            <w:t>[Doc Number] rev.Y</w:t>
          </w:r>
        </w:p>
      </w:tc>
    </w:tr>
  </w:tbl>
  <w:p w14:paraId="2183A426" w14:textId="77777777" w:rsidR="000F0603" w:rsidRPr="001549D2" w:rsidRDefault="000F0603" w:rsidP="000F0603">
    <w:pPr>
      <w:pStyle w:val="Header"/>
    </w:pPr>
  </w:p>
  <w:p w14:paraId="529437EE" w14:textId="77777777" w:rsidR="005D59B6" w:rsidRPr="000F0603" w:rsidRDefault="005D59B6" w:rsidP="000F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074E44"/>
    <w:multiLevelType w:val="hybridMultilevel"/>
    <w:tmpl w:val="0BBEEAB2"/>
    <w:lvl w:ilvl="0" w:tplc="1DBE55E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BA0AE8"/>
    <w:multiLevelType w:val="hybridMultilevel"/>
    <w:tmpl w:val="CE369C9E"/>
    <w:lvl w:ilvl="0" w:tplc="E0B41A0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82632"/>
    <w:multiLevelType w:val="hybridMultilevel"/>
    <w:tmpl w:val="0A407960"/>
    <w:lvl w:ilvl="0" w:tplc="1DBE55E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07A42A7"/>
    <w:multiLevelType w:val="hybridMultilevel"/>
    <w:tmpl w:val="3EBE80D4"/>
    <w:lvl w:ilvl="0" w:tplc="AA4EF41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1B38E9"/>
    <w:multiLevelType w:val="hybridMultilevel"/>
    <w:tmpl w:val="0618393A"/>
    <w:lvl w:ilvl="0" w:tplc="C6564EA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6063B0"/>
    <w:multiLevelType w:val="hybridMultilevel"/>
    <w:tmpl w:val="1812C474"/>
    <w:lvl w:ilvl="0" w:tplc="C6564EA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8421936">
    <w:abstractNumId w:val="6"/>
  </w:num>
  <w:num w:numId="2" w16cid:durableId="1734621211">
    <w:abstractNumId w:val="1"/>
  </w:num>
  <w:num w:numId="3" w16cid:durableId="747072263">
    <w:abstractNumId w:val="3"/>
  </w:num>
  <w:num w:numId="4" w16cid:durableId="343824919">
    <w:abstractNumId w:val="10"/>
  </w:num>
  <w:num w:numId="5" w16cid:durableId="2008442251">
    <w:abstractNumId w:val="4"/>
  </w:num>
  <w:num w:numId="6" w16cid:durableId="397168031">
    <w:abstractNumId w:val="9"/>
  </w:num>
  <w:num w:numId="7" w16cid:durableId="1675721630">
    <w:abstractNumId w:val="12"/>
  </w:num>
  <w:num w:numId="8" w16cid:durableId="129519309">
    <w:abstractNumId w:val="2"/>
  </w:num>
  <w:num w:numId="9" w16cid:durableId="454450872">
    <w:abstractNumId w:val="0"/>
  </w:num>
  <w:num w:numId="10" w16cid:durableId="981422453">
    <w:abstractNumId w:val="7"/>
  </w:num>
  <w:num w:numId="11" w16cid:durableId="2043557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4493600">
    <w:abstractNumId w:val="6"/>
  </w:num>
  <w:num w:numId="13" w16cid:durableId="559364438">
    <w:abstractNumId w:val="6"/>
  </w:num>
  <w:num w:numId="14" w16cid:durableId="776405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7194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1143216">
    <w:abstractNumId w:val="13"/>
  </w:num>
  <w:num w:numId="17" w16cid:durableId="588193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2140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929203">
    <w:abstractNumId w:val="6"/>
  </w:num>
  <w:num w:numId="20" w16cid:durableId="555049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655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6957980">
    <w:abstractNumId w:val="15"/>
  </w:num>
  <w:num w:numId="23" w16cid:durableId="1942256674">
    <w:abstractNumId w:val="14"/>
  </w:num>
  <w:num w:numId="24" w16cid:durableId="1356689275">
    <w:abstractNumId w:val="5"/>
  </w:num>
  <w:num w:numId="25" w16cid:durableId="1580600038">
    <w:abstractNumId w:val="11"/>
  </w:num>
  <w:num w:numId="26" w16cid:durableId="6023493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5BE"/>
    <w:rsid w:val="000039F5"/>
    <w:rsid w:val="00007141"/>
    <w:rsid w:val="00010A1F"/>
    <w:rsid w:val="00010CC1"/>
    <w:rsid w:val="00011F84"/>
    <w:rsid w:val="00012479"/>
    <w:rsid w:val="0001260A"/>
    <w:rsid w:val="00012BE1"/>
    <w:rsid w:val="00015B3D"/>
    <w:rsid w:val="0001734A"/>
    <w:rsid w:val="00021315"/>
    <w:rsid w:val="00021707"/>
    <w:rsid w:val="000223D6"/>
    <w:rsid w:val="000255FE"/>
    <w:rsid w:val="00026F8B"/>
    <w:rsid w:val="00027B3A"/>
    <w:rsid w:val="00030765"/>
    <w:rsid w:val="00030E01"/>
    <w:rsid w:val="00030FE1"/>
    <w:rsid w:val="000325F9"/>
    <w:rsid w:val="00032DCB"/>
    <w:rsid w:val="0003444D"/>
    <w:rsid w:val="000358CB"/>
    <w:rsid w:val="00035A3F"/>
    <w:rsid w:val="00035D2A"/>
    <w:rsid w:val="000379F2"/>
    <w:rsid w:val="00040DCF"/>
    <w:rsid w:val="00041491"/>
    <w:rsid w:val="0004300E"/>
    <w:rsid w:val="00043057"/>
    <w:rsid w:val="00043D91"/>
    <w:rsid w:val="00044D87"/>
    <w:rsid w:val="00051662"/>
    <w:rsid w:val="00053A3F"/>
    <w:rsid w:val="00054430"/>
    <w:rsid w:val="00054652"/>
    <w:rsid w:val="000563CF"/>
    <w:rsid w:val="00057548"/>
    <w:rsid w:val="000609E1"/>
    <w:rsid w:val="00061872"/>
    <w:rsid w:val="0006431A"/>
    <w:rsid w:val="00064BFB"/>
    <w:rsid w:val="00065B0F"/>
    <w:rsid w:val="00066052"/>
    <w:rsid w:val="0006605C"/>
    <w:rsid w:val="00067885"/>
    <w:rsid w:val="000704CA"/>
    <w:rsid w:val="000711FD"/>
    <w:rsid w:val="000722F4"/>
    <w:rsid w:val="00072457"/>
    <w:rsid w:val="00073F86"/>
    <w:rsid w:val="000745D3"/>
    <w:rsid w:val="00074647"/>
    <w:rsid w:val="0007517A"/>
    <w:rsid w:val="00075D74"/>
    <w:rsid w:val="000769E2"/>
    <w:rsid w:val="00077392"/>
    <w:rsid w:val="00077810"/>
    <w:rsid w:val="000819A3"/>
    <w:rsid w:val="00081F74"/>
    <w:rsid w:val="00082D0A"/>
    <w:rsid w:val="00082D74"/>
    <w:rsid w:val="00082EF4"/>
    <w:rsid w:val="00084C51"/>
    <w:rsid w:val="0008578A"/>
    <w:rsid w:val="00086964"/>
    <w:rsid w:val="000918F2"/>
    <w:rsid w:val="0009266F"/>
    <w:rsid w:val="000934C7"/>
    <w:rsid w:val="00093C03"/>
    <w:rsid w:val="00095273"/>
    <w:rsid w:val="000955C6"/>
    <w:rsid w:val="00095694"/>
    <w:rsid w:val="00097216"/>
    <w:rsid w:val="000A0014"/>
    <w:rsid w:val="000A0252"/>
    <w:rsid w:val="000A345B"/>
    <w:rsid w:val="000A525E"/>
    <w:rsid w:val="000B2BAC"/>
    <w:rsid w:val="000B3188"/>
    <w:rsid w:val="000B31A3"/>
    <w:rsid w:val="000B6CA1"/>
    <w:rsid w:val="000B6F87"/>
    <w:rsid w:val="000B7077"/>
    <w:rsid w:val="000C14AE"/>
    <w:rsid w:val="000C159F"/>
    <w:rsid w:val="000C33FC"/>
    <w:rsid w:val="000C3653"/>
    <w:rsid w:val="000C3E40"/>
    <w:rsid w:val="000C653F"/>
    <w:rsid w:val="000C6DE0"/>
    <w:rsid w:val="000D03D6"/>
    <w:rsid w:val="000D42A8"/>
    <w:rsid w:val="000D55EC"/>
    <w:rsid w:val="000D7385"/>
    <w:rsid w:val="000D7FE4"/>
    <w:rsid w:val="000E4642"/>
    <w:rsid w:val="000E602D"/>
    <w:rsid w:val="000E66B8"/>
    <w:rsid w:val="000E6EC7"/>
    <w:rsid w:val="000E6FDF"/>
    <w:rsid w:val="000E7364"/>
    <w:rsid w:val="000F0603"/>
    <w:rsid w:val="000F1A56"/>
    <w:rsid w:val="000F1CEA"/>
    <w:rsid w:val="000F3D57"/>
    <w:rsid w:val="000F4C28"/>
    <w:rsid w:val="000F71C4"/>
    <w:rsid w:val="000F730D"/>
    <w:rsid w:val="000F7D93"/>
    <w:rsid w:val="001004EC"/>
    <w:rsid w:val="00101BFC"/>
    <w:rsid w:val="00102F53"/>
    <w:rsid w:val="0010384A"/>
    <w:rsid w:val="00104BA2"/>
    <w:rsid w:val="00110397"/>
    <w:rsid w:val="001124E7"/>
    <w:rsid w:val="001133AC"/>
    <w:rsid w:val="00113CC9"/>
    <w:rsid w:val="00114A91"/>
    <w:rsid w:val="0012188B"/>
    <w:rsid w:val="001228F8"/>
    <w:rsid w:val="00122C11"/>
    <w:rsid w:val="00122EA3"/>
    <w:rsid w:val="00123006"/>
    <w:rsid w:val="00124E69"/>
    <w:rsid w:val="00126C2B"/>
    <w:rsid w:val="00131600"/>
    <w:rsid w:val="00134344"/>
    <w:rsid w:val="00134528"/>
    <w:rsid w:val="00135147"/>
    <w:rsid w:val="00135AA4"/>
    <w:rsid w:val="00136DA4"/>
    <w:rsid w:val="00136E2C"/>
    <w:rsid w:val="00137331"/>
    <w:rsid w:val="00137F8B"/>
    <w:rsid w:val="00140069"/>
    <w:rsid w:val="0014065A"/>
    <w:rsid w:val="00142B27"/>
    <w:rsid w:val="001453EC"/>
    <w:rsid w:val="00146832"/>
    <w:rsid w:val="0014717B"/>
    <w:rsid w:val="00147C28"/>
    <w:rsid w:val="0015078B"/>
    <w:rsid w:val="0015113C"/>
    <w:rsid w:val="00151FBD"/>
    <w:rsid w:val="001549D2"/>
    <w:rsid w:val="001553EC"/>
    <w:rsid w:val="001558CA"/>
    <w:rsid w:val="0015735F"/>
    <w:rsid w:val="00157DF3"/>
    <w:rsid w:val="00162D8D"/>
    <w:rsid w:val="0016487B"/>
    <w:rsid w:val="0016652F"/>
    <w:rsid w:val="00166DC6"/>
    <w:rsid w:val="00167734"/>
    <w:rsid w:val="00167ED4"/>
    <w:rsid w:val="001712A8"/>
    <w:rsid w:val="00173EDD"/>
    <w:rsid w:val="001753C7"/>
    <w:rsid w:val="00176224"/>
    <w:rsid w:val="00176235"/>
    <w:rsid w:val="00181287"/>
    <w:rsid w:val="0018333F"/>
    <w:rsid w:val="001835A2"/>
    <w:rsid w:val="001841FD"/>
    <w:rsid w:val="00185A2B"/>
    <w:rsid w:val="00185C8F"/>
    <w:rsid w:val="00187186"/>
    <w:rsid w:val="00191089"/>
    <w:rsid w:val="001913F2"/>
    <w:rsid w:val="00192EFE"/>
    <w:rsid w:val="00192F10"/>
    <w:rsid w:val="00194BD2"/>
    <w:rsid w:val="00194C66"/>
    <w:rsid w:val="00194E5F"/>
    <w:rsid w:val="00195178"/>
    <w:rsid w:val="00195CDE"/>
    <w:rsid w:val="0019652F"/>
    <w:rsid w:val="00196751"/>
    <w:rsid w:val="001A0616"/>
    <w:rsid w:val="001A1F08"/>
    <w:rsid w:val="001A35D6"/>
    <w:rsid w:val="001B2AB1"/>
    <w:rsid w:val="001B6929"/>
    <w:rsid w:val="001B77FA"/>
    <w:rsid w:val="001C257D"/>
    <w:rsid w:val="001C263C"/>
    <w:rsid w:val="001C42AB"/>
    <w:rsid w:val="001C45E8"/>
    <w:rsid w:val="001C4979"/>
    <w:rsid w:val="001C4E41"/>
    <w:rsid w:val="001C595E"/>
    <w:rsid w:val="001C7CDB"/>
    <w:rsid w:val="001D0816"/>
    <w:rsid w:val="001D2F07"/>
    <w:rsid w:val="001E03C1"/>
    <w:rsid w:val="001E0F10"/>
    <w:rsid w:val="001E3512"/>
    <w:rsid w:val="001E37DE"/>
    <w:rsid w:val="001E52D0"/>
    <w:rsid w:val="001E64BF"/>
    <w:rsid w:val="001E707C"/>
    <w:rsid w:val="001E75DF"/>
    <w:rsid w:val="001F08A7"/>
    <w:rsid w:val="001F4370"/>
    <w:rsid w:val="001F59C5"/>
    <w:rsid w:val="0020417A"/>
    <w:rsid w:val="0020612F"/>
    <w:rsid w:val="00206461"/>
    <w:rsid w:val="00207882"/>
    <w:rsid w:val="002102BD"/>
    <w:rsid w:val="00213E04"/>
    <w:rsid w:val="00217556"/>
    <w:rsid w:val="0021793D"/>
    <w:rsid w:val="00222C82"/>
    <w:rsid w:val="002251DB"/>
    <w:rsid w:val="00225677"/>
    <w:rsid w:val="00225B1F"/>
    <w:rsid w:val="0023244E"/>
    <w:rsid w:val="00233F9B"/>
    <w:rsid w:val="002354D3"/>
    <w:rsid w:val="00236E33"/>
    <w:rsid w:val="002372CB"/>
    <w:rsid w:val="00237F99"/>
    <w:rsid w:val="0024087D"/>
    <w:rsid w:val="00240A0B"/>
    <w:rsid w:val="00241695"/>
    <w:rsid w:val="00241802"/>
    <w:rsid w:val="00244F19"/>
    <w:rsid w:val="0024501C"/>
    <w:rsid w:val="002453DB"/>
    <w:rsid w:val="00245542"/>
    <w:rsid w:val="0024778E"/>
    <w:rsid w:val="00247A43"/>
    <w:rsid w:val="002517E9"/>
    <w:rsid w:val="00253894"/>
    <w:rsid w:val="00253C4F"/>
    <w:rsid w:val="00257233"/>
    <w:rsid w:val="00260595"/>
    <w:rsid w:val="00260A9E"/>
    <w:rsid w:val="002624E8"/>
    <w:rsid w:val="00262BB2"/>
    <w:rsid w:val="00263D92"/>
    <w:rsid w:val="00265076"/>
    <w:rsid w:val="0026576E"/>
    <w:rsid w:val="00266754"/>
    <w:rsid w:val="00267C22"/>
    <w:rsid w:val="00272FE9"/>
    <w:rsid w:val="002739D5"/>
    <w:rsid w:val="00274820"/>
    <w:rsid w:val="00274936"/>
    <w:rsid w:val="002801B1"/>
    <w:rsid w:val="0028119C"/>
    <w:rsid w:val="002818D2"/>
    <w:rsid w:val="00282B01"/>
    <w:rsid w:val="002836DD"/>
    <w:rsid w:val="00285B9B"/>
    <w:rsid w:val="00285D99"/>
    <w:rsid w:val="00286473"/>
    <w:rsid w:val="0028748E"/>
    <w:rsid w:val="0029085D"/>
    <w:rsid w:val="00292761"/>
    <w:rsid w:val="002928A5"/>
    <w:rsid w:val="00293125"/>
    <w:rsid w:val="00293236"/>
    <w:rsid w:val="00294491"/>
    <w:rsid w:val="00296036"/>
    <w:rsid w:val="00297BA6"/>
    <w:rsid w:val="002A104E"/>
    <w:rsid w:val="002A1CFA"/>
    <w:rsid w:val="002A2E31"/>
    <w:rsid w:val="002A4998"/>
    <w:rsid w:val="002A59E6"/>
    <w:rsid w:val="002A5DD8"/>
    <w:rsid w:val="002A6154"/>
    <w:rsid w:val="002A61DF"/>
    <w:rsid w:val="002A626E"/>
    <w:rsid w:val="002A682B"/>
    <w:rsid w:val="002B03B5"/>
    <w:rsid w:val="002B089E"/>
    <w:rsid w:val="002B0BE5"/>
    <w:rsid w:val="002B42BD"/>
    <w:rsid w:val="002B5706"/>
    <w:rsid w:val="002B5904"/>
    <w:rsid w:val="002B5A79"/>
    <w:rsid w:val="002B5F7D"/>
    <w:rsid w:val="002B66E9"/>
    <w:rsid w:val="002C046D"/>
    <w:rsid w:val="002C182D"/>
    <w:rsid w:val="002C268C"/>
    <w:rsid w:val="002C2747"/>
    <w:rsid w:val="002C4027"/>
    <w:rsid w:val="002C5832"/>
    <w:rsid w:val="002C5ED0"/>
    <w:rsid w:val="002C7AB0"/>
    <w:rsid w:val="002D3DAD"/>
    <w:rsid w:val="002D4A38"/>
    <w:rsid w:val="002D761B"/>
    <w:rsid w:val="002E00D1"/>
    <w:rsid w:val="002E46C8"/>
    <w:rsid w:val="002E5054"/>
    <w:rsid w:val="002E55E8"/>
    <w:rsid w:val="002E6C31"/>
    <w:rsid w:val="002E7BA0"/>
    <w:rsid w:val="002E7F34"/>
    <w:rsid w:val="002F0691"/>
    <w:rsid w:val="002F1FDA"/>
    <w:rsid w:val="002F4AAC"/>
    <w:rsid w:val="002F4DCE"/>
    <w:rsid w:val="002F5178"/>
    <w:rsid w:val="002F7644"/>
    <w:rsid w:val="0030197D"/>
    <w:rsid w:val="00305318"/>
    <w:rsid w:val="00305581"/>
    <w:rsid w:val="00307130"/>
    <w:rsid w:val="00307C85"/>
    <w:rsid w:val="00307F26"/>
    <w:rsid w:val="00311DAB"/>
    <w:rsid w:val="00312409"/>
    <w:rsid w:val="00312CFD"/>
    <w:rsid w:val="003132B5"/>
    <w:rsid w:val="00314374"/>
    <w:rsid w:val="0031588A"/>
    <w:rsid w:val="00317E8B"/>
    <w:rsid w:val="003200C0"/>
    <w:rsid w:val="00322354"/>
    <w:rsid w:val="0032375E"/>
    <w:rsid w:val="00325F1D"/>
    <w:rsid w:val="003274E8"/>
    <w:rsid w:val="003322C8"/>
    <w:rsid w:val="00334319"/>
    <w:rsid w:val="00335818"/>
    <w:rsid w:val="00336860"/>
    <w:rsid w:val="003370CC"/>
    <w:rsid w:val="003375DB"/>
    <w:rsid w:val="0034045B"/>
    <w:rsid w:val="0034275C"/>
    <w:rsid w:val="0034338D"/>
    <w:rsid w:val="00343BA9"/>
    <w:rsid w:val="003445EF"/>
    <w:rsid w:val="003468B2"/>
    <w:rsid w:val="00346B80"/>
    <w:rsid w:val="00346BE0"/>
    <w:rsid w:val="003477D4"/>
    <w:rsid w:val="00347A4B"/>
    <w:rsid w:val="00351C71"/>
    <w:rsid w:val="00354D8B"/>
    <w:rsid w:val="003553EF"/>
    <w:rsid w:val="00356434"/>
    <w:rsid w:val="003574B3"/>
    <w:rsid w:val="003575B4"/>
    <w:rsid w:val="00360164"/>
    <w:rsid w:val="00362571"/>
    <w:rsid w:val="00365AD1"/>
    <w:rsid w:val="0036652C"/>
    <w:rsid w:val="00367338"/>
    <w:rsid w:val="00371710"/>
    <w:rsid w:val="00371B0D"/>
    <w:rsid w:val="0037268C"/>
    <w:rsid w:val="00372F8B"/>
    <w:rsid w:val="003738F2"/>
    <w:rsid w:val="0037449C"/>
    <w:rsid w:val="0037465F"/>
    <w:rsid w:val="00381DD8"/>
    <w:rsid w:val="00382CDE"/>
    <w:rsid w:val="0038355A"/>
    <w:rsid w:val="00383785"/>
    <w:rsid w:val="00385A82"/>
    <w:rsid w:val="003865AE"/>
    <w:rsid w:val="00386B10"/>
    <w:rsid w:val="003874B8"/>
    <w:rsid w:val="00390BF7"/>
    <w:rsid w:val="00391631"/>
    <w:rsid w:val="00391A15"/>
    <w:rsid w:val="00391AC9"/>
    <w:rsid w:val="00392195"/>
    <w:rsid w:val="00392F77"/>
    <w:rsid w:val="003940CC"/>
    <w:rsid w:val="00394425"/>
    <w:rsid w:val="00394CC6"/>
    <w:rsid w:val="003959E1"/>
    <w:rsid w:val="00397B98"/>
    <w:rsid w:val="003A00C3"/>
    <w:rsid w:val="003A0A0A"/>
    <w:rsid w:val="003A0FA7"/>
    <w:rsid w:val="003A2006"/>
    <w:rsid w:val="003A3BE9"/>
    <w:rsid w:val="003B0735"/>
    <w:rsid w:val="003B161D"/>
    <w:rsid w:val="003B1D1C"/>
    <w:rsid w:val="003B26AF"/>
    <w:rsid w:val="003B30FA"/>
    <w:rsid w:val="003B4B3E"/>
    <w:rsid w:val="003B521D"/>
    <w:rsid w:val="003B5880"/>
    <w:rsid w:val="003B6F2E"/>
    <w:rsid w:val="003C0C79"/>
    <w:rsid w:val="003C1EB3"/>
    <w:rsid w:val="003C36F2"/>
    <w:rsid w:val="003C4045"/>
    <w:rsid w:val="003C4633"/>
    <w:rsid w:val="003C580D"/>
    <w:rsid w:val="003C62EE"/>
    <w:rsid w:val="003D0EFF"/>
    <w:rsid w:val="003D1180"/>
    <w:rsid w:val="003D32F4"/>
    <w:rsid w:val="003D3F58"/>
    <w:rsid w:val="003D4402"/>
    <w:rsid w:val="003D4BDB"/>
    <w:rsid w:val="003D52B8"/>
    <w:rsid w:val="003D62AE"/>
    <w:rsid w:val="003D6C14"/>
    <w:rsid w:val="003D6CF2"/>
    <w:rsid w:val="003D7C86"/>
    <w:rsid w:val="003E1267"/>
    <w:rsid w:val="003E261E"/>
    <w:rsid w:val="003E386C"/>
    <w:rsid w:val="003E3AB9"/>
    <w:rsid w:val="003E6026"/>
    <w:rsid w:val="003E7D87"/>
    <w:rsid w:val="003F06E4"/>
    <w:rsid w:val="003F0802"/>
    <w:rsid w:val="003F0A1F"/>
    <w:rsid w:val="003F240F"/>
    <w:rsid w:val="003F3627"/>
    <w:rsid w:val="003F511A"/>
    <w:rsid w:val="00401248"/>
    <w:rsid w:val="00401A02"/>
    <w:rsid w:val="00401E89"/>
    <w:rsid w:val="004039BF"/>
    <w:rsid w:val="00404BB2"/>
    <w:rsid w:val="004065A3"/>
    <w:rsid w:val="00406AFD"/>
    <w:rsid w:val="004079AB"/>
    <w:rsid w:val="00410D6A"/>
    <w:rsid w:val="004119F6"/>
    <w:rsid w:val="00416A96"/>
    <w:rsid w:val="0042107A"/>
    <w:rsid w:val="00421561"/>
    <w:rsid w:val="00421F8D"/>
    <w:rsid w:val="00422AA3"/>
    <w:rsid w:val="0042475E"/>
    <w:rsid w:val="00425482"/>
    <w:rsid w:val="00431CD8"/>
    <w:rsid w:val="004328CC"/>
    <w:rsid w:val="00433E57"/>
    <w:rsid w:val="00435C44"/>
    <w:rsid w:val="00440886"/>
    <w:rsid w:val="0044246D"/>
    <w:rsid w:val="00442681"/>
    <w:rsid w:val="00442F94"/>
    <w:rsid w:val="00444557"/>
    <w:rsid w:val="00444AA8"/>
    <w:rsid w:val="00445BEE"/>
    <w:rsid w:val="00445F7A"/>
    <w:rsid w:val="0044643B"/>
    <w:rsid w:val="0044644C"/>
    <w:rsid w:val="00447FAD"/>
    <w:rsid w:val="0045263D"/>
    <w:rsid w:val="00453622"/>
    <w:rsid w:val="004546FD"/>
    <w:rsid w:val="00456654"/>
    <w:rsid w:val="00457665"/>
    <w:rsid w:val="00460457"/>
    <w:rsid w:val="00464EBD"/>
    <w:rsid w:val="00464F3C"/>
    <w:rsid w:val="00465336"/>
    <w:rsid w:val="004653EF"/>
    <w:rsid w:val="0046558B"/>
    <w:rsid w:val="00465C16"/>
    <w:rsid w:val="00465C4B"/>
    <w:rsid w:val="0046770A"/>
    <w:rsid w:val="004704D0"/>
    <w:rsid w:val="00470777"/>
    <w:rsid w:val="00471F28"/>
    <w:rsid w:val="0047349F"/>
    <w:rsid w:val="00473DC1"/>
    <w:rsid w:val="0047658C"/>
    <w:rsid w:val="00476B43"/>
    <w:rsid w:val="004771FE"/>
    <w:rsid w:val="00480F53"/>
    <w:rsid w:val="00482627"/>
    <w:rsid w:val="004854BD"/>
    <w:rsid w:val="0048652A"/>
    <w:rsid w:val="00490826"/>
    <w:rsid w:val="00492A09"/>
    <w:rsid w:val="00493938"/>
    <w:rsid w:val="00493ADE"/>
    <w:rsid w:val="004979BA"/>
    <w:rsid w:val="00497CE8"/>
    <w:rsid w:val="004A1E19"/>
    <w:rsid w:val="004A2A16"/>
    <w:rsid w:val="004A35C7"/>
    <w:rsid w:val="004A411A"/>
    <w:rsid w:val="004A448B"/>
    <w:rsid w:val="004A64D8"/>
    <w:rsid w:val="004A70B7"/>
    <w:rsid w:val="004A72C4"/>
    <w:rsid w:val="004A7C84"/>
    <w:rsid w:val="004A7D55"/>
    <w:rsid w:val="004B17A4"/>
    <w:rsid w:val="004B1935"/>
    <w:rsid w:val="004B4F46"/>
    <w:rsid w:val="004C08F6"/>
    <w:rsid w:val="004C1002"/>
    <w:rsid w:val="004C19FF"/>
    <w:rsid w:val="004C220A"/>
    <w:rsid w:val="004C2BEE"/>
    <w:rsid w:val="004C5B18"/>
    <w:rsid w:val="004D1B26"/>
    <w:rsid w:val="004D1B63"/>
    <w:rsid w:val="004D2616"/>
    <w:rsid w:val="004D3D0D"/>
    <w:rsid w:val="004D4419"/>
    <w:rsid w:val="004E133D"/>
    <w:rsid w:val="004E1D8C"/>
    <w:rsid w:val="004F1046"/>
    <w:rsid w:val="004F1639"/>
    <w:rsid w:val="004F41AA"/>
    <w:rsid w:val="004F4CC0"/>
    <w:rsid w:val="004F500C"/>
    <w:rsid w:val="004F50DC"/>
    <w:rsid w:val="004F5CCB"/>
    <w:rsid w:val="00502D7E"/>
    <w:rsid w:val="005067B7"/>
    <w:rsid w:val="00506CC4"/>
    <w:rsid w:val="00507525"/>
    <w:rsid w:val="00507604"/>
    <w:rsid w:val="0051126E"/>
    <w:rsid w:val="00513955"/>
    <w:rsid w:val="005154F3"/>
    <w:rsid w:val="005202EF"/>
    <w:rsid w:val="00522A89"/>
    <w:rsid w:val="00522DA0"/>
    <w:rsid w:val="00525077"/>
    <w:rsid w:val="005253DC"/>
    <w:rsid w:val="00525669"/>
    <w:rsid w:val="005256BB"/>
    <w:rsid w:val="00525F00"/>
    <w:rsid w:val="00527186"/>
    <w:rsid w:val="00530A8F"/>
    <w:rsid w:val="0053114E"/>
    <w:rsid w:val="00532192"/>
    <w:rsid w:val="00540C86"/>
    <w:rsid w:val="00541808"/>
    <w:rsid w:val="00542341"/>
    <w:rsid w:val="00542FA8"/>
    <w:rsid w:val="005448C0"/>
    <w:rsid w:val="00545770"/>
    <w:rsid w:val="005459D1"/>
    <w:rsid w:val="00545BCF"/>
    <w:rsid w:val="00547B17"/>
    <w:rsid w:val="00547B63"/>
    <w:rsid w:val="00551B21"/>
    <w:rsid w:val="0055235F"/>
    <w:rsid w:val="0055238A"/>
    <w:rsid w:val="005526DD"/>
    <w:rsid w:val="00555BB9"/>
    <w:rsid w:val="00555D45"/>
    <w:rsid w:val="00556627"/>
    <w:rsid w:val="00556801"/>
    <w:rsid w:val="00557331"/>
    <w:rsid w:val="0056188C"/>
    <w:rsid w:val="00561FE6"/>
    <w:rsid w:val="00562611"/>
    <w:rsid w:val="00562BF2"/>
    <w:rsid w:val="00563515"/>
    <w:rsid w:val="00565649"/>
    <w:rsid w:val="00566315"/>
    <w:rsid w:val="0056788D"/>
    <w:rsid w:val="00571C44"/>
    <w:rsid w:val="0057314A"/>
    <w:rsid w:val="005744E0"/>
    <w:rsid w:val="005752B9"/>
    <w:rsid w:val="00577C05"/>
    <w:rsid w:val="00580C42"/>
    <w:rsid w:val="0058196F"/>
    <w:rsid w:val="00581D0F"/>
    <w:rsid w:val="00582D64"/>
    <w:rsid w:val="00583C97"/>
    <w:rsid w:val="00585551"/>
    <w:rsid w:val="0058611E"/>
    <w:rsid w:val="005872FE"/>
    <w:rsid w:val="005909E8"/>
    <w:rsid w:val="00593B2A"/>
    <w:rsid w:val="00593D2E"/>
    <w:rsid w:val="00595102"/>
    <w:rsid w:val="005954C5"/>
    <w:rsid w:val="005961A6"/>
    <w:rsid w:val="0059692F"/>
    <w:rsid w:val="00596E89"/>
    <w:rsid w:val="005971E2"/>
    <w:rsid w:val="005A0C1A"/>
    <w:rsid w:val="005A225F"/>
    <w:rsid w:val="005A44DB"/>
    <w:rsid w:val="005A4D4D"/>
    <w:rsid w:val="005A5759"/>
    <w:rsid w:val="005A6CDC"/>
    <w:rsid w:val="005A73BC"/>
    <w:rsid w:val="005A7736"/>
    <w:rsid w:val="005B153E"/>
    <w:rsid w:val="005B2484"/>
    <w:rsid w:val="005B41F9"/>
    <w:rsid w:val="005B4932"/>
    <w:rsid w:val="005B5443"/>
    <w:rsid w:val="005B65C6"/>
    <w:rsid w:val="005B7875"/>
    <w:rsid w:val="005B7CE1"/>
    <w:rsid w:val="005B7E45"/>
    <w:rsid w:val="005C0303"/>
    <w:rsid w:val="005C2718"/>
    <w:rsid w:val="005C55C0"/>
    <w:rsid w:val="005D0072"/>
    <w:rsid w:val="005D0C1B"/>
    <w:rsid w:val="005D10A6"/>
    <w:rsid w:val="005D4502"/>
    <w:rsid w:val="005D561B"/>
    <w:rsid w:val="005D59B6"/>
    <w:rsid w:val="005D5DBE"/>
    <w:rsid w:val="005D6500"/>
    <w:rsid w:val="005E1E3F"/>
    <w:rsid w:val="005E6A17"/>
    <w:rsid w:val="005E7E00"/>
    <w:rsid w:val="005E7F9A"/>
    <w:rsid w:val="005F1BAE"/>
    <w:rsid w:val="005F2CF6"/>
    <w:rsid w:val="005F4B30"/>
    <w:rsid w:val="005F5175"/>
    <w:rsid w:val="005F7EF3"/>
    <w:rsid w:val="00600866"/>
    <w:rsid w:val="00601945"/>
    <w:rsid w:val="0060238F"/>
    <w:rsid w:val="00603784"/>
    <w:rsid w:val="0060441C"/>
    <w:rsid w:val="006045F5"/>
    <w:rsid w:val="006058C7"/>
    <w:rsid w:val="0060781A"/>
    <w:rsid w:val="006112C0"/>
    <w:rsid w:val="00611478"/>
    <w:rsid w:val="00611C54"/>
    <w:rsid w:val="00613080"/>
    <w:rsid w:val="00613325"/>
    <w:rsid w:val="006133C3"/>
    <w:rsid w:val="00615780"/>
    <w:rsid w:val="00620EA7"/>
    <w:rsid w:val="0062162E"/>
    <w:rsid w:val="00621CFE"/>
    <w:rsid w:val="00621E79"/>
    <w:rsid w:val="00623249"/>
    <w:rsid w:val="00623CD0"/>
    <w:rsid w:val="00625F86"/>
    <w:rsid w:val="00626C3E"/>
    <w:rsid w:val="00630A17"/>
    <w:rsid w:val="00631CDC"/>
    <w:rsid w:val="006322BC"/>
    <w:rsid w:val="0063283F"/>
    <w:rsid w:val="00632D92"/>
    <w:rsid w:val="006331FF"/>
    <w:rsid w:val="0063389C"/>
    <w:rsid w:val="00633B5E"/>
    <w:rsid w:val="0063417A"/>
    <w:rsid w:val="006344E2"/>
    <w:rsid w:val="00634763"/>
    <w:rsid w:val="00634D2A"/>
    <w:rsid w:val="00637B7C"/>
    <w:rsid w:val="00640AFD"/>
    <w:rsid w:val="00641701"/>
    <w:rsid w:val="0064229A"/>
    <w:rsid w:val="00642E47"/>
    <w:rsid w:val="006435B3"/>
    <w:rsid w:val="0064498E"/>
    <w:rsid w:val="00645D7A"/>
    <w:rsid w:val="00645F64"/>
    <w:rsid w:val="00646932"/>
    <w:rsid w:val="00647957"/>
    <w:rsid w:val="006523BF"/>
    <w:rsid w:val="00652E62"/>
    <w:rsid w:val="0065372B"/>
    <w:rsid w:val="00654DAB"/>
    <w:rsid w:val="006551CC"/>
    <w:rsid w:val="00657E89"/>
    <w:rsid w:val="00664E3B"/>
    <w:rsid w:val="00667E63"/>
    <w:rsid w:val="00670B9C"/>
    <w:rsid w:val="006777C8"/>
    <w:rsid w:val="00680088"/>
    <w:rsid w:val="00680E97"/>
    <w:rsid w:val="0068112A"/>
    <w:rsid w:val="0068147E"/>
    <w:rsid w:val="00681A4D"/>
    <w:rsid w:val="006829D3"/>
    <w:rsid w:val="00682E61"/>
    <w:rsid w:val="006834AF"/>
    <w:rsid w:val="0068481A"/>
    <w:rsid w:val="006850F2"/>
    <w:rsid w:val="006854A6"/>
    <w:rsid w:val="00686653"/>
    <w:rsid w:val="00686F52"/>
    <w:rsid w:val="0069250C"/>
    <w:rsid w:val="006934D7"/>
    <w:rsid w:val="00693A46"/>
    <w:rsid w:val="00695753"/>
    <w:rsid w:val="00695940"/>
    <w:rsid w:val="006978E9"/>
    <w:rsid w:val="006A0D35"/>
    <w:rsid w:val="006A100F"/>
    <w:rsid w:val="006A148D"/>
    <w:rsid w:val="006A1AA0"/>
    <w:rsid w:val="006A274B"/>
    <w:rsid w:val="006A3FA0"/>
    <w:rsid w:val="006A4FE0"/>
    <w:rsid w:val="006A6A90"/>
    <w:rsid w:val="006A6EB9"/>
    <w:rsid w:val="006A7AC0"/>
    <w:rsid w:val="006B1E24"/>
    <w:rsid w:val="006B2638"/>
    <w:rsid w:val="006B2C99"/>
    <w:rsid w:val="006B43DF"/>
    <w:rsid w:val="006B4958"/>
    <w:rsid w:val="006B7702"/>
    <w:rsid w:val="006C2C30"/>
    <w:rsid w:val="006D054D"/>
    <w:rsid w:val="006D05C8"/>
    <w:rsid w:val="006D1680"/>
    <w:rsid w:val="006D262C"/>
    <w:rsid w:val="006D3C5F"/>
    <w:rsid w:val="006D4290"/>
    <w:rsid w:val="006D61F3"/>
    <w:rsid w:val="006D70DF"/>
    <w:rsid w:val="006E3B01"/>
    <w:rsid w:val="006E458A"/>
    <w:rsid w:val="006E5AF3"/>
    <w:rsid w:val="006E77BD"/>
    <w:rsid w:val="006E7F6A"/>
    <w:rsid w:val="006F1CA6"/>
    <w:rsid w:val="006F2666"/>
    <w:rsid w:val="006F2E58"/>
    <w:rsid w:val="006F52AE"/>
    <w:rsid w:val="006F61F0"/>
    <w:rsid w:val="007001BB"/>
    <w:rsid w:val="00701A2F"/>
    <w:rsid w:val="00702307"/>
    <w:rsid w:val="00702903"/>
    <w:rsid w:val="0070489E"/>
    <w:rsid w:val="00705379"/>
    <w:rsid w:val="007055FA"/>
    <w:rsid w:val="00707340"/>
    <w:rsid w:val="00707419"/>
    <w:rsid w:val="0071066B"/>
    <w:rsid w:val="00711C76"/>
    <w:rsid w:val="00711FC4"/>
    <w:rsid w:val="0071604F"/>
    <w:rsid w:val="0071702F"/>
    <w:rsid w:val="007216B4"/>
    <w:rsid w:val="00721822"/>
    <w:rsid w:val="00721D34"/>
    <w:rsid w:val="00721E72"/>
    <w:rsid w:val="00723518"/>
    <w:rsid w:val="007250D8"/>
    <w:rsid w:val="00725978"/>
    <w:rsid w:val="007271C0"/>
    <w:rsid w:val="00732DCA"/>
    <w:rsid w:val="00732ECF"/>
    <w:rsid w:val="007346B6"/>
    <w:rsid w:val="00734837"/>
    <w:rsid w:val="00737B2C"/>
    <w:rsid w:val="0074087E"/>
    <w:rsid w:val="00741797"/>
    <w:rsid w:val="00743054"/>
    <w:rsid w:val="00743380"/>
    <w:rsid w:val="007457CB"/>
    <w:rsid w:val="00746E9F"/>
    <w:rsid w:val="007524E7"/>
    <w:rsid w:val="007539D2"/>
    <w:rsid w:val="0075555A"/>
    <w:rsid w:val="00756B09"/>
    <w:rsid w:val="00757F2F"/>
    <w:rsid w:val="00760247"/>
    <w:rsid w:val="00761977"/>
    <w:rsid w:val="00763A24"/>
    <w:rsid w:val="007644D4"/>
    <w:rsid w:val="00764AE4"/>
    <w:rsid w:val="00766490"/>
    <w:rsid w:val="00770925"/>
    <w:rsid w:val="0077285C"/>
    <w:rsid w:val="0077382F"/>
    <w:rsid w:val="0077534E"/>
    <w:rsid w:val="007757FA"/>
    <w:rsid w:val="00775AD9"/>
    <w:rsid w:val="00775B4B"/>
    <w:rsid w:val="00780DCB"/>
    <w:rsid w:val="0078272F"/>
    <w:rsid w:val="00783643"/>
    <w:rsid w:val="007840FB"/>
    <w:rsid w:val="00784B95"/>
    <w:rsid w:val="00785306"/>
    <w:rsid w:val="00785384"/>
    <w:rsid w:val="007857FB"/>
    <w:rsid w:val="00786416"/>
    <w:rsid w:val="00791533"/>
    <w:rsid w:val="00791832"/>
    <w:rsid w:val="00793739"/>
    <w:rsid w:val="00795A66"/>
    <w:rsid w:val="007961AD"/>
    <w:rsid w:val="00796AB3"/>
    <w:rsid w:val="00796E6D"/>
    <w:rsid w:val="007A0BD4"/>
    <w:rsid w:val="007A6443"/>
    <w:rsid w:val="007A6B02"/>
    <w:rsid w:val="007B119B"/>
    <w:rsid w:val="007B216E"/>
    <w:rsid w:val="007B41C8"/>
    <w:rsid w:val="007B4CDC"/>
    <w:rsid w:val="007B538A"/>
    <w:rsid w:val="007B6658"/>
    <w:rsid w:val="007C0607"/>
    <w:rsid w:val="007C16CB"/>
    <w:rsid w:val="007C2196"/>
    <w:rsid w:val="007C4C6E"/>
    <w:rsid w:val="007C57B2"/>
    <w:rsid w:val="007D14DC"/>
    <w:rsid w:val="007D15CC"/>
    <w:rsid w:val="007D2448"/>
    <w:rsid w:val="007D383C"/>
    <w:rsid w:val="007D44D9"/>
    <w:rsid w:val="007D48EB"/>
    <w:rsid w:val="007D498A"/>
    <w:rsid w:val="007D555F"/>
    <w:rsid w:val="007D6319"/>
    <w:rsid w:val="007E039C"/>
    <w:rsid w:val="007E0522"/>
    <w:rsid w:val="007E0E3C"/>
    <w:rsid w:val="007E10A1"/>
    <w:rsid w:val="007E1763"/>
    <w:rsid w:val="007E1F60"/>
    <w:rsid w:val="007E31B0"/>
    <w:rsid w:val="007E392C"/>
    <w:rsid w:val="007E5884"/>
    <w:rsid w:val="007E6F2C"/>
    <w:rsid w:val="007F026D"/>
    <w:rsid w:val="007F0320"/>
    <w:rsid w:val="007F4139"/>
    <w:rsid w:val="007F5F81"/>
    <w:rsid w:val="007F75F6"/>
    <w:rsid w:val="00801154"/>
    <w:rsid w:val="008019E7"/>
    <w:rsid w:val="00801ED4"/>
    <w:rsid w:val="008049B0"/>
    <w:rsid w:val="00804A76"/>
    <w:rsid w:val="00804F14"/>
    <w:rsid w:val="00805E63"/>
    <w:rsid w:val="00806583"/>
    <w:rsid w:val="0080663E"/>
    <w:rsid w:val="00806991"/>
    <w:rsid w:val="00806F90"/>
    <w:rsid w:val="008079BA"/>
    <w:rsid w:val="008102D0"/>
    <w:rsid w:val="008125A7"/>
    <w:rsid w:val="00812957"/>
    <w:rsid w:val="00814E33"/>
    <w:rsid w:val="00817ACE"/>
    <w:rsid w:val="008228A2"/>
    <w:rsid w:val="00830769"/>
    <w:rsid w:val="008309FA"/>
    <w:rsid w:val="00830ABB"/>
    <w:rsid w:val="00832C98"/>
    <w:rsid w:val="00833C47"/>
    <w:rsid w:val="00834689"/>
    <w:rsid w:val="00834D5F"/>
    <w:rsid w:val="00840966"/>
    <w:rsid w:val="00840BA5"/>
    <w:rsid w:val="0084336A"/>
    <w:rsid w:val="00844E7C"/>
    <w:rsid w:val="00846B2B"/>
    <w:rsid w:val="00847504"/>
    <w:rsid w:val="0085014C"/>
    <w:rsid w:val="00850FF9"/>
    <w:rsid w:val="0085324F"/>
    <w:rsid w:val="00853263"/>
    <w:rsid w:val="008578D3"/>
    <w:rsid w:val="0086074B"/>
    <w:rsid w:val="00860AF9"/>
    <w:rsid w:val="0086106C"/>
    <w:rsid w:val="008614E2"/>
    <w:rsid w:val="008617BC"/>
    <w:rsid w:val="00862CF9"/>
    <w:rsid w:val="00864559"/>
    <w:rsid w:val="0086679B"/>
    <w:rsid w:val="008718AA"/>
    <w:rsid w:val="00873054"/>
    <w:rsid w:val="00874D01"/>
    <w:rsid w:val="00875630"/>
    <w:rsid w:val="00876022"/>
    <w:rsid w:val="00882371"/>
    <w:rsid w:val="00882461"/>
    <w:rsid w:val="00882BF2"/>
    <w:rsid w:val="00883D74"/>
    <w:rsid w:val="00886013"/>
    <w:rsid w:val="0088733F"/>
    <w:rsid w:val="008877B5"/>
    <w:rsid w:val="00887B77"/>
    <w:rsid w:val="00890365"/>
    <w:rsid w:val="00891742"/>
    <w:rsid w:val="00891A1D"/>
    <w:rsid w:val="00892DE6"/>
    <w:rsid w:val="00894276"/>
    <w:rsid w:val="008947FD"/>
    <w:rsid w:val="00894D8A"/>
    <w:rsid w:val="0089559D"/>
    <w:rsid w:val="00895BAE"/>
    <w:rsid w:val="00896026"/>
    <w:rsid w:val="0089681C"/>
    <w:rsid w:val="00896B89"/>
    <w:rsid w:val="00896E58"/>
    <w:rsid w:val="008A3085"/>
    <w:rsid w:val="008A5704"/>
    <w:rsid w:val="008A5CBC"/>
    <w:rsid w:val="008A712E"/>
    <w:rsid w:val="008A7E8C"/>
    <w:rsid w:val="008B050F"/>
    <w:rsid w:val="008B0833"/>
    <w:rsid w:val="008B23B0"/>
    <w:rsid w:val="008B5520"/>
    <w:rsid w:val="008C12C9"/>
    <w:rsid w:val="008C1711"/>
    <w:rsid w:val="008C2133"/>
    <w:rsid w:val="008C2928"/>
    <w:rsid w:val="008C2E21"/>
    <w:rsid w:val="008C3F80"/>
    <w:rsid w:val="008C4596"/>
    <w:rsid w:val="008C5F34"/>
    <w:rsid w:val="008C7235"/>
    <w:rsid w:val="008C760C"/>
    <w:rsid w:val="008C7DA8"/>
    <w:rsid w:val="008D0142"/>
    <w:rsid w:val="008D1F36"/>
    <w:rsid w:val="008D2A58"/>
    <w:rsid w:val="008D3DB8"/>
    <w:rsid w:val="008E0065"/>
    <w:rsid w:val="008E3B63"/>
    <w:rsid w:val="008E63AA"/>
    <w:rsid w:val="008E79A1"/>
    <w:rsid w:val="008F200D"/>
    <w:rsid w:val="008F2A60"/>
    <w:rsid w:val="008F7637"/>
    <w:rsid w:val="00901D96"/>
    <w:rsid w:val="00902CCD"/>
    <w:rsid w:val="00904557"/>
    <w:rsid w:val="0091134A"/>
    <w:rsid w:val="0091171D"/>
    <w:rsid w:val="009130E4"/>
    <w:rsid w:val="00914B12"/>
    <w:rsid w:val="00914F45"/>
    <w:rsid w:val="0091619B"/>
    <w:rsid w:val="00916555"/>
    <w:rsid w:val="00916DCF"/>
    <w:rsid w:val="009178CD"/>
    <w:rsid w:val="00917EF8"/>
    <w:rsid w:val="00920DDB"/>
    <w:rsid w:val="00922458"/>
    <w:rsid w:val="00924FB4"/>
    <w:rsid w:val="009304CF"/>
    <w:rsid w:val="0093245E"/>
    <w:rsid w:val="00932EA7"/>
    <w:rsid w:val="00932F12"/>
    <w:rsid w:val="009333C7"/>
    <w:rsid w:val="00933FA1"/>
    <w:rsid w:val="00937656"/>
    <w:rsid w:val="00937847"/>
    <w:rsid w:val="0094139E"/>
    <w:rsid w:val="0094200D"/>
    <w:rsid w:val="00943569"/>
    <w:rsid w:val="00944C99"/>
    <w:rsid w:val="00944F11"/>
    <w:rsid w:val="009466C6"/>
    <w:rsid w:val="00946A7E"/>
    <w:rsid w:val="00947AAF"/>
    <w:rsid w:val="00950D3F"/>
    <w:rsid w:val="009512F9"/>
    <w:rsid w:val="00951DD4"/>
    <w:rsid w:val="00953599"/>
    <w:rsid w:val="00953A0B"/>
    <w:rsid w:val="009552F4"/>
    <w:rsid w:val="00960563"/>
    <w:rsid w:val="00961561"/>
    <w:rsid w:val="0096333F"/>
    <w:rsid w:val="00963927"/>
    <w:rsid w:val="00963D40"/>
    <w:rsid w:val="00964302"/>
    <w:rsid w:val="009657AC"/>
    <w:rsid w:val="00967241"/>
    <w:rsid w:val="00970C05"/>
    <w:rsid w:val="009720C6"/>
    <w:rsid w:val="009728D2"/>
    <w:rsid w:val="00972AA2"/>
    <w:rsid w:val="00973C7B"/>
    <w:rsid w:val="00976412"/>
    <w:rsid w:val="009807F1"/>
    <w:rsid w:val="00981445"/>
    <w:rsid w:val="00983AD6"/>
    <w:rsid w:val="00984044"/>
    <w:rsid w:val="0098412F"/>
    <w:rsid w:val="00986008"/>
    <w:rsid w:val="00986555"/>
    <w:rsid w:val="00990066"/>
    <w:rsid w:val="009920DF"/>
    <w:rsid w:val="00992BFE"/>
    <w:rsid w:val="00992DE8"/>
    <w:rsid w:val="009933D6"/>
    <w:rsid w:val="00993B71"/>
    <w:rsid w:val="00994271"/>
    <w:rsid w:val="00995BA1"/>
    <w:rsid w:val="00996D32"/>
    <w:rsid w:val="00997CF0"/>
    <w:rsid w:val="009A0541"/>
    <w:rsid w:val="009A2159"/>
    <w:rsid w:val="009A31BB"/>
    <w:rsid w:val="009A3D02"/>
    <w:rsid w:val="009B01CE"/>
    <w:rsid w:val="009B12F8"/>
    <w:rsid w:val="009B198F"/>
    <w:rsid w:val="009B1D8C"/>
    <w:rsid w:val="009B2007"/>
    <w:rsid w:val="009B5264"/>
    <w:rsid w:val="009B59E7"/>
    <w:rsid w:val="009B79F2"/>
    <w:rsid w:val="009C0370"/>
    <w:rsid w:val="009C0508"/>
    <w:rsid w:val="009C05FA"/>
    <w:rsid w:val="009C091B"/>
    <w:rsid w:val="009C0AC2"/>
    <w:rsid w:val="009C0B5C"/>
    <w:rsid w:val="009C15FF"/>
    <w:rsid w:val="009C198A"/>
    <w:rsid w:val="009C3696"/>
    <w:rsid w:val="009C4EA9"/>
    <w:rsid w:val="009C4F51"/>
    <w:rsid w:val="009C5E65"/>
    <w:rsid w:val="009D238A"/>
    <w:rsid w:val="009D4405"/>
    <w:rsid w:val="009D4C06"/>
    <w:rsid w:val="009E0AAE"/>
    <w:rsid w:val="009E17A5"/>
    <w:rsid w:val="009E1BAF"/>
    <w:rsid w:val="009E2067"/>
    <w:rsid w:val="009E2115"/>
    <w:rsid w:val="009E3E4F"/>
    <w:rsid w:val="009E4C38"/>
    <w:rsid w:val="009E76DE"/>
    <w:rsid w:val="009F2928"/>
    <w:rsid w:val="009F3B85"/>
    <w:rsid w:val="009F5BFE"/>
    <w:rsid w:val="009F73C4"/>
    <w:rsid w:val="00A05CEE"/>
    <w:rsid w:val="00A062C2"/>
    <w:rsid w:val="00A069C4"/>
    <w:rsid w:val="00A102A7"/>
    <w:rsid w:val="00A117AC"/>
    <w:rsid w:val="00A11986"/>
    <w:rsid w:val="00A127B0"/>
    <w:rsid w:val="00A12AFD"/>
    <w:rsid w:val="00A14872"/>
    <w:rsid w:val="00A1526B"/>
    <w:rsid w:val="00A1535D"/>
    <w:rsid w:val="00A1690D"/>
    <w:rsid w:val="00A16DAA"/>
    <w:rsid w:val="00A17252"/>
    <w:rsid w:val="00A20307"/>
    <w:rsid w:val="00A22935"/>
    <w:rsid w:val="00A2796D"/>
    <w:rsid w:val="00A27BD2"/>
    <w:rsid w:val="00A27DE8"/>
    <w:rsid w:val="00A31A0D"/>
    <w:rsid w:val="00A32B6C"/>
    <w:rsid w:val="00A330AA"/>
    <w:rsid w:val="00A373A4"/>
    <w:rsid w:val="00A3766F"/>
    <w:rsid w:val="00A37AC8"/>
    <w:rsid w:val="00A40D09"/>
    <w:rsid w:val="00A417D5"/>
    <w:rsid w:val="00A43CE8"/>
    <w:rsid w:val="00A4620F"/>
    <w:rsid w:val="00A47D25"/>
    <w:rsid w:val="00A523B8"/>
    <w:rsid w:val="00A52A72"/>
    <w:rsid w:val="00A543A8"/>
    <w:rsid w:val="00A55851"/>
    <w:rsid w:val="00A56E73"/>
    <w:rsid w:val="00A61DBC"/>
    <w:rsid w:val="00A62948"/>
    <w:rsid w:val="00A65DB4"/>
    <w:rsid w:val="00A665B4"/>
    <w:rsid w:val="00A665E8"/>
    <w:rsid w:val="00A677EC"/>
    <w:rsid w:val="00A702F6"/>
    <w:rsid w:val="00A724AE"/>
    <w:rsid w:val="00A73E99"/>
    <w:rsid w:val="00A75D6E"/>
    <w:rsid w:val="00A801A5"/>
    <w:rsid w:val="00A81A40"/>
    <w:rsid w:val="00A8424A"/>
    <w:rsid w:val="00A8453D"/>
    <w:rsid w:val="00A900DF"/>
    <w:rsid w:val="00A912FA"/>
    <w:rsid w:val="00A9258D"/>
    <w:rsid w:val="00A929C5"/>
    <w:rsid w:val="00A94207"/>
    <w:rsid w:val="00A95F93"/>
    <w:rsid w:val="00A970E2"/>
    <w:rsid w:val="00A97C6B"/>
    <w:rsid w:val="00AA0072"/>
    <w:rsid w:val="00AA3C1A"/>
    <w:rsid w:val="00AA40AC"/>
    <w:rsid w:val="00AA671C"/>
    <w:rsid w:val="00AA7025"/>
    <w:rsid w:val="00AA7B24"/>
    <w:rsid w:val="00AA7E75"/>
    <w:rsid w:val="00AB022A"/>
    <w:rsid w:val="00AB27B4"/>
    <w:rsid w:val="00AB3AE3"/>
    <w:rsid w:val="00AB54E8"/>
    <w:rsid w:val="00AB5B28"/>
    <w:rsid w:val="00AB5F8F"/>
    <w:rsid w:val="00AB6229"/>
    <w:rsid w:val="00AC0055"/>
    <w:rsid w:val="00AC400D"/>
    <w:rsid w:val="00AC42B3"/>
    <w:rsid w:val="00AC6002"/>
    <w:rsid w:val="00AC6510"/>
    <w:rsid w:val="00AC68A9"/>
    <w:rsid w:val="00AC6D90"/>
    <w:rsid w:val="00AC72E0"/>
    <w:rsid w:val="00AD0946"/>
    <w:rsid w:val="00AD17E7"/>
    <w:rsid w:val="00AD2419"/>
    <w:rsid w:val="00AD2CFF"/>
    <w:rsid w:val="00AD483D"/>
    <w:rsid w:val="00AD52A7"/>
    <w:rsid w:val="00AD6530"/>
    <w:rsid w:val="00AD7F8C"/>
    <w:rsid w:val="00AE0817"/>
    <w:rsid w:val="00AE115E"/>
    <w:rsid w:val="00AE2BBE"/>
    <w:rsid w:val="00AE432C"/>
    <w:rsid w:val="00AE4E59"/>
    <w:rsid w:val="00AE52DE"/>
    <w:rsid w:val="00AE7526"/>
    <w:rsid w:val="00AE76A3"/>
    <w:rsid w:val="00AF38D4"/>
    <w:rsid w:val="00AF5372"/>
    <w:rsid w:val="00B001DC"/>
    <w:rsid w:val="00B06E76"/>
    <w:rsid w:val="00B0701A"/>
    <w:rsid w:val="00B07C2A"/>
    <w:rsid w:val="00B07DBA"/>
    <w:rsid w:val="00B13E07"/>
    <w:rsid w:val="00B17F4C"/>
    <w:rsid w:val="00B2685F"/>
    <w:rsid w:val="00B30015"/>
    <w:rsid w:val="00B315DB"/>
    <w:rsid w:val="00B32625"/>
    <w:rsid w:val="00B336FF"/>
    <w:rsid w:val="00B33C68"/>
    <w:rsid w:val="00B34CF4"/>
    <w:rsid w:val="00B36113"/>
    <w:rsid w:val="00B3741D"/>
    <w:rsid w:val="00B377DC"/>
    <w:rsid w:val="00B45299"/>
    <w:rsid w:val="00B470C0"/>
    <w:rsid w:val="00B50463"/>
    <w:rsid w:val="00B50AFA"/>
    <w:rsid w:val="00B512D6"/>
    <w:rsid w:val="00B51A0B"/>
    <w:rsid w:val="00B5397E"/>
    <w:rsid w:val="00B5451B"/>
    <w:rsid w:val="00B56072"/>
    <w:rsid w:val="00B56647"/>
    <w:rsid w:val="00B616DB"/>
    <w:rsid w:val="00B61873"/>
    <w:rsid w:val="00B63B5D"/>
    <w:rsid w:val="00B63BC1"/>
    <w:rsid w:val="00B64421"/>
    <w:rsid w:val="00B666F9"/>
    <w:rsid w:val="00B67741"/>
    <w:rsid w:val="00B700F3"/>
    <w:rsid w:val="00B71AC3"/>
    <w:rsid w:val="00B71B86"/>
    <w:rsid w:val="00B76EC6"/>
    <w:rsid w:val="00B774A3"/>
    <w:rsid w:val="00B80376"/>
    <w:rsid w:val="00B8186D"/>
    <w:rsid w:val="00B83201"/>
    <w:rsid w:val="00B8413C"/>
    <w:rsid w:val="00B8461F"/>
    <w:rsid w:val="00B84621"/>
    <w:rsid w:val="00B84F70"/>
    <w:rsid w:val="00B854C9"/>
    <w:rsid w:val="00B85BC7"/>
    <w:rsid w:val="00B86CCD"/>
    <w:rsid w:val="00B916E6"/>
    <w:rsid w:val="00B9613F"/>
    <w:rsid w:val="00B9625F"/>
    <w:rsid w:val="00B962A2"/>
    <w:rsid w:val="00B96732"/>
    <w:rsid w:val="00BA0446"/>
    <w:rsid w:val="00BA0CF1"/>
    <w:rsid w:val="00BA290C"/>
    <w:rsid w:val="00BA4FA1"/>
    <w:rsid w:val="00BA687D"/>
    <w:rsid w:val="00BB1C3D"/>
    <w:rsid w:val="00BB205A"/>
    <w:rsid w:val="00BB315D"/>
    <w:rsid w:val="00BB3919"/>
    <w:rsid w:val="00BB5436"/>
    <w:rsid w:val="00BB5C84"/>
    <w:rsid w:val="00BC173D"/>
    <w:rsid w:val="00BC33E9"/>
    <w:rsid w:val="00BC557A"/>
    <w:rsid w:val="00BC56FA"/>
    <w:rsid w:val="00BC6496"/>
    <w:rsid w:val="00BC6F4B"/>
    <w:rsid w:val="00BD0886"/>
    <w:rsid w:val="00BD2577"/>
    <w:rsid w:val="00BD3A66"/>
    <w:rsid w:val="00BD4659"/>
    <w:rsid w:val="00BD4898"/>
    <w:rsid w:val="00BD6324"/>
    <w:rsid w:val="00BD6724"/>
    <w:rsid w:val="00BD692F"/>
    <w:rsid w:val="00BD6C67"/>
    <w:rsid w:val="00BE2BBF"/>
    <w:rsid w:val="00BE5180"/>
    <w:rsid w:val="00BE6731"/>
    <w:rsid w:val="00BE79AF"/>
    <w:rsid w:val="00BF0B30"/>
    <w:rsid w:val="00BF0F7F"/>
    <w:rsid w:val="00BF35A6"/>
    <w:rsid w:val="00BF3D45"/>
    <w:rsid w:val="00BF3EBB"/>
    <w:rsid w:val="00BF450A"/>
    <w:rsid w:val="00C049A8"/>
    <w:rsid w:val="00C04DAB"/>
    <w:rsid w:val="00C05C68"/>
    <w:rsid w:val="00C0634A"/>
    <w:rsid w:val="00C06A63"/>
    <w:rsid w:val="00C06BA1"/>
    <w:rsid w:val="00C1190A"/>
    <w:rsid w:val="00C1194F"/>
    <w:rsid w:val="00C13ABD"/>
    <w:rsid w:val="00C14E6D"/>
    <w:rsid w:val="00C16BA3"/>
    <w:rsid w:val="00C16C99"/>
    <w:rsid w:val="00C176C9"/>
    <w:rsid w:val="00C26E6B"/>
    <w:rsid w:val="00C2789D"/>
    <w:rsid w:val="00C27F01"/>
    <w:rsid w:val="00C3253D"/>
    <w:rsid w:val="00C341C8"/>
    <w:rsid w:val="00C3475A"/>
    <w:rsid w:val="00C34CD5"/>
    <w:rsid w:val="00C35901"/>
    <w:rsid w:val="00C36060"/>
    <w:rsid w:val="00C3616E"/>
    <w:rsid w:val="00C369C6"/>
    <w:rsid w:val="00C36A5A"/>
    <w:rsid w:val="00C377B4"/>
    <w:rsid w:val="00C40D19"/>
    <w:rsid w:val="00C416B6"/>
    <w:rsid w:val="00C420A0"/>
    <w:rsid w:val="00C42650"/>
    <w:rsid w:val="00C42717"/>
    <w:rsid w:val="00C438F2"/>
    <w:rsid w:val="00C441C6"/>
    <w:rsid w:val="00C443E1"/>
    <w:rsid w:val="00C455C0"/>
    <w:rsid w:val="00C4727E"/>
    <w:rsid w:val="00C50AE4"/>
    <w:rsid w:val="00C529BF"/>
    <w:rsid w:val="00C53F53"/>
    <w:rsid w:val="00C54C30"/>
    <w:rsid w:val="00C5593D"/>
    <w:rsid w:val="00C56EF4"/>
    <w:rsid w:val="00C57E85"/>
    <w:rsid w:val="00C614F5"/>
    <w:rsid w:val="00C61814"/>
    <w:rsid w:val="00C62D3C"/>
    <w:rsid w:val="00C63D08"/>
    <w:rsid w:val="00C64F0E"/>
    <w:rsid w:val="00C661FA"/>
    <w:rsid w:val="00C66AA4"/>
    <w:rsid w:val="00C66B52"/>
    <w:rsid w:val="00C67766"/>
    <w:rsid w:val="00C67B22"/>
    <w:rsid w:val="00C67ECB"/>
    <w:rsid w:val="00C71110"/>
    <w:rsid w:val="00C72633"/>
    <w:rsid w:val="00C73596"/>
    <w:rsid w:val="00C75D4F"/>
    <w:rsid w:val="00C7660B"/>
    <w:rsid w:val="00C77033"/>
    <w:rsid w:val="00C8140E"/>
    <w:rsid w:val="00C83753"/>
    <w:rsid w:val="00C83CBF"/>
    <w:rsid w:val="00C8464F"/>
    <w:rsid w:val="00C848B6"/>
    <w:rsid w:val="00C8612E"/>
    <w:rsid w:val="00C86B0E"/>
    <w:rsid w:val="00C90210"/>
    <w:rsid w:val="00C9260B"/>
    <w:rsid w:val="00C92EAD"/>
    <w:rsid w:val="00C93946"/>
    <w:rsid w:val="00C9409A"/>
    <w:rsid w:val="00C9436D"/>
    <w:rsid w:val="00C957F9"/>
    <w:rsid w:val="00CA0B79"/>
    <w:rsid w:val="00CA2E39"/>
    <w:rsid w:val="00CA6777"/>
    <w:rsid w:val="00CB092D"/>
    <w:rsid w:val="00CB1087"/>
    <w:rsid w:val="00CB1865"/>
    <w:rsid w:val="00CB1D3F"/>
    <w:rsid w:val="00CB25FE"/>
    <w:rsid w:val="00CB2D2C"/>
    <w:rsid w:val="00CB30BA"/>
    <w:rsid w:val="00CB3AD2"/>
    <w:rsid w:val="00CB440B"/>
    <w:rsid w:val="00CB47EB"/>
    <w:rsid w:val="00CB753A"/>
    <w:rsid w:val="00CB78C0"/>
    <w:rsid w:val="00CC0E53"/>
    <w:rsid w:val="00CC4C61"/>
    <w:rsid w:val="00CC4FE1"/>
    <w:rsid w:val="00CC643A"/>
    <w:rsid w:val="00CC6B01"/>
    <w:rsid w:val="00CD0FAD"/>
    <w:rsid w:val="00CD2F9D"/>
    <w:rsid w:val="00CD354D"/>
    <w:rsid w:val="00CD696F"/>
    <w:rsid w:val="00CD7D86"/>
    <w:rsid w:val="00CE08D0"/>
    <w:rsid w:val="00CE198A"/>
    <w:rsid w:val="00CE201F"/>
    <w:rsid w:val="00CE4204"/>
    <w:rsid w:val="00CE54B8"/>
    <w:rsid w:val="00CE579C"/>
    <w:rsid w:val="00CE5D47"/>
    <w:rsid w:val="00CF0A48"/>
    <w:rsid w:val="00CF0E54"/>
    <w:rsid w:val="00CF1F50"/>
    <w:rsid w:val="00CF2D2A"/>
    <w:rsid w:val="00CF6CB2"/>
    <w:rsid w:val="00D00AC4"/>
    <w:rsid w:val="00D019A5"/>
    <w:rsid w:val="00D0337D"/>
    <w:rsid w:val="00D03E8A"/>
    <w:rsid w:val="00D04099"/>
    <w:rsid w:val="00D04749"/>
    <w:rsid w:val="00D04AE5"/>
    <w:rsid w:val="00D1003C"/>
    <w:rsid w:val="00D11EB6"/>
    <w:rsid w:val="00D12235"/>
    <w:rsid w:val="00D12417"/>
    <w:rsid w:val="00D12D68"/>
    <w:rsid w:val="00D12EAA"/>
    <w:rsid w:val="00D1387A"/>
    <w:rsid w:val="00D142B9"/>
    <w:rsid w:val="00D233C8"/>
    <w:rsid w:val="00D25861"/>
    <w:rsid w:val="00D336BD"/>
    <w:rsid w:val="00D352C8"/>
    <w:rsid w:val="00D3565D"/>
    <w:rsid w:val="00D365E1"/>
    <w:rsid w:val="00D40413"/>
    <w:rsid w:val="00D43798"/>
    <w:rsid w:val="00D43B12"/>
    <w:rsid w:val="00D46068"/>
    <w:rsid w:val="00D50584"/>
    <w:rsid w:val="00D50CE2"/>
    <w:rsid w:val="00D52276"/>
    <w:rsid w:val="00D52A7C"/>
    <w:rsid w:val="00D536C3"/>
    <w:rsid w:val="00D53F60"/>
    <w:rsid w:val="00D54192"/>
    <w:rsid w:val="00D549A1"/>
    <w:rsid w:val="00D57385"/>
    <w:rsid w:val="00D57722"/>
    <w:rsid w:val="00D57D89"/>
    <w:rsid w:val="00D57EBC"/>
    <w:rsid w:val="00D60C2A"/>
    <w:rsid w:val="00D62F97"/>
    <w:rsid w:val="00D642D9"/>
    <w:rsid w:val="00D64C0F"/>
    <w:rsid w:val="00D65A8B"/>
    <w:rsid w:val="00D65CE8"/>
    <w:rsid w:val="00D65FA6"/>
    <w:rsid w:val="00D67351"/>
    <w:rsid w:val="00D7083E"/>
    <w:rsid w:val="00D73ECE"/>
    <w:rsid w:val="00D73F41"/>
    <w:rsid w:val="00D768ED"/>
    <w:rsid w:val="00D76EC6"/>
    <w:rsid w:val="00D80979"/>
    <w:rsid w:val="00D80A06"/>
    <w:rsid w:val="00D835F7"/>
    <w:rsid w:val="00D8415E"/>
    <w:rsid w:val="00D847E9"/>
    <w:rsid w:val="00D85E56"/>
    <w:rsid w:val="00D8692B"/>
    <w:rsid w:val="00D8794D"/>
    <w:rsid w:val="00D91518"/>
    <w:rsid w:val="00D926BF"/>
    <w:rsid w:val="00D93F7F"/>
    <w:rsid w:val="00D94E7B"/>
    <w:rsid w:val="00D9777C"/>
    <w:rsid w:val="00DA056C"/>
    <w:rsid w:val="00DA37E3"/>
    <w:rsid w:val="00DA4AE5"/>
    <w:rsid w:val="00DA64BA"/>
    <w:rsid w:val="00DA6A4E"/>
    <w:rsid w:val="00DA6F45"/>
    <w:rsid w:val="00DA7361"/>
    <w:rsid w:val="00DA7F22"/>
    <w:rsid w:val="00DB170F"/>
    <w:rsid w:val="00DB1B4E"/>
    <w:rsid w:val="00DB5722"/>
    <w:rsid w:val="00DB64A0"/>
    <w:rsid w:val="00DB64CD"/>
    <w:rsid w:val="00DC0E70"/>
    <w:rsid w:val="00DC210C"/>
    <w:rsid w:val="00DC4AE0"/>
    <w:rsid w:val="00DC4C9A"/>
    <w:rsid w:val="00DC5466"/>
    <w:rsid w:val="00DC5D3B"/>
    <w:rsid w:val="00DC5ED6"/>
    <w:rsid w:val="00DC6032"/>
    <w:rsid w:val="00DD1110"/>
    <w:rsid w:val="00DD1E97"/>
    <w:rsid w:val="00DD293D"/>
    <w:rsid w:val="00DD4437"/>
    <w:rsid w:val="00DD57ED"/>
    <w:rsid w:val="00DE0705"/>
    <w:rsid w:val="00DE1598"/>
    <w:rsid w:val="00DE3E92"/>
    <w:rsid w:val="00DE67A5"/>
    <w:rsid w:val="00DF05D5"/>
    <w:rsid w:val="00DF1593"/>
    <w:rsid w:val="00DF251F"/>
    <w:rsid w:val="00DF2530"/>
    <w:rsid w:val="00DF36F7"/>
    <w:rsid w:val="00DF45A1"/>
    <w:rsid w:val="00DF46F1"/>
    <w:rsid w:val="00DF5965"/>
    <w:rsid w:val="00DF5A6F"/>
    <w:rsid w:val="00E007A1"/>
    <w:rsid w:val="00E06735"/>
    <w:rsid w:val="00E06D8C"/>
    <w:rsid w:val="00E0708D"/>
    <w:rsid w:val="00E1000D"/>
    <w:rsid w:val="00E10F54"/>
    <w:rsid w:val="00E122C5"/>
    <w:rsid w:val="00E122D1"/>
    <w:rsid w:val="00E12395"/>
    <w:rsid w:val="00E1293A"/>
    <w:rsid w:val="00E13848"/>
    <w:rsid w:val="00E15445"/>
    <w:rsid w:val="00E167DC"/>
    <w:rsid w:val="00E175A2"/>
    <w:rsid w:val="00E20729"/>
    <w:rsid w:val="00E20D32"/>
    <w:rsid w:val="00E20DBE"/>
    <w:rsid w:val="00E20EE3"/>
    <w:rsid w:val="00E21BA5"/>
    <w:rsid w:val="00E2235B"/>
    <w:rsid w:val="00E252A0"/>
    <w:rsid w:val="00E27143"/>
    <w:rsid w:val="00E27CCF"/>
    <w:rsid w:val="00E27CD3"/>
    <w:rsid w:val="00E27DCE"/>
    <w:rsid w:val="00E31D02"/>
    <w:rsid w:val="00E35597"/>
    <w:rsid w:val="00E35C15"/>
    <w:rsid w:val="00E368B5"/>
    <w:rsid w:val="00E36A5F"/>
    <w:rsid w:val="00E37711"/>
    <w:rsid w:val="00E403FC"/>
    <w:rsid w:val="00E408A4"/>
    <w:rsid w:val="00E41607"/>
    <w:rsid w:val="00E41BCD"/>
    <w:rsid w:val="00E44575"/>
    <w:rsid w:val="00E476CD"/>
    <w:rsid w:val="00E50589"/>
    <w:rsid w:val="00E5089E"/>
    <w:rsid w:val="00E5159B"/>
    <w:rsid w:val="00E516D6"/>
    <w:rsid w:val="00E51818"/>
    <w:rsid w:val="00E51B54"/>
    <w:rsid w:val="00E51FAE"/>
    <w:rsid w:val="00E528BE"/>
    <w:rsid w:val="00E52B46"/>
    <w:rsid w:val="00E52CC3"/>
    <w:rsid w:val="00E52E54"/>
    <w:rsid w:val="00E54308"/>
    <w:rsid w:val="00E577C0"/>
    <w:rsid w:val="00E613B9"/>
    <w:rsid w:val="00E6141E"/>
    <w:rsid w:val="00E62C2B"/>
    <w:rsid w:val="00E62F06"/>
    <w:rsid w:val="00E6534D"/>
    <w:rsid w:val="00E65472"/>
    <w:rsid w:val="00E65CE7"/>
    <w:rsid w:val="00E66958"/>
    <w:rsid w:val="00E70666"/>
    <w:rsid w:val="00E7235B"/>
    <w:rsid w:val="00E73782"/>
    <w:rsid w:val="00E73A77"/>
    <w:rsid w:val="00E74468"/>
    <w:rsid w:val="00E74896"/>
    <w:rsid w:val="00E7540E"/>
    <w:rsid w:val="00E77748"/>
    <w:rsid w:val="00E80229"/>
    <w:rsid w:val="00E85499"/>
    <w:rsid w:val="00E86C30"/>
    <w:rsid w:val="00E92084"/>
    <w:rsid w:val="00E9281C"/>
    <w:rsid w:val="00E92D5F"/>
    <w:rsid w:val="00E93974"/>
    <w:rsid w:val="00E94CB1"/>
    <w:rsid w:val="00EA1FC1"/>
    <w:rsid w:val="00EA29D1"/>
    <w:rsid w:val="00EA3786"/>
    <w:rsid w:val="00EA4049"/>
    <w:rsid w:val="00EA4216"/>
    <w:rsid w:val="00EA4358"/>
    <w:rsid w:val="00EA5DCA"/>
    <w:rsid w:val="00EA7A2B"/>
    <w:rsid w:val="00EB00FE"/>
    <w:rsid w:val="00EB14F8"/>
    <w:rsid w:val="00EB1CB9"/>
    <w:rsid w:val="00EB3447"/>
    <w:rsid w:val="00EB5488"/>
    <w:rsid w:val="00EB6E2C"/>
    <w:rsid w:val="00EB6EA3"/>
    <w:rsid w:val="00EC1854"/>
    <w:rsid w:val="00EC1FC0"/>
    <w:rsid w:val="00EC3D24"/>
    <w:rsid w:val="00EC46B2"/>
    <w:rsid w:val="00EC6FF8"/>
    <w:rsid w:val="00EC72D4"/>
    <w:rsid w:val="00ED3071"/>
    <w:rsid w:val="00ED46A5"/>
    <w:rsid w:val="00ED4CC5"/>
    <w:rsid w:val="00ED4F74"/>
    <w:rsid w:val="00ED6104"/>
    <w:rsid w:val="00ED6835"/>
    <w:rsid w:val="00ED7DBD"/>
    <w:rsid w:val="00EE0CEE"/>
    <w:rsid w:val="00EE0D1A"/>
    <w:rsid w:val="00EE0DAD"/>
    <w:rsid w:val="00EE4399"/>
    <w:rsid w:val="00EE5CF0"/>
    <w:rsid w:val="00EE611C"/>
    <w:rsid w:val="00EE79D5"/>
    <w:rsid w:val="00EF1067"/>
    <w:rsid w:val="00F00E5A"/>
    <w:rsid w:val="00F01B48"/>
    <w:rsid w:val="00F01BB6"/>
    <w:rsid w:val="00F05E17"/>
    <w:rsid w:val="00F10053"/>
    <w:rsid w:val="00F117E9"/>
    <w:rsid w:val="00F12F13"/>
    <w:rsid w:val="00F12FB4"/>
    <w:rsid w:val="00F1309C"/>
    <w:rsid w:val="00F131AE"/>
    <w:rsid w:val="00F1363B"/>
    <w:rsid w:val="00F1580A"/>
    <w:rsid w:val="00F15C7D"/>
    <w:rsid w:val="00F16F6D"/>
    <w:rsid w:val="00F17BA8"/>
    <w:rsid w:val="00F22B60"/>
    <w:rsid w:val="00F24C0C"/>
    <w:rsid w:val="00F25CDC"/>
    <w:rsid w:val="00F276D4"/>
    <w:rsid w:val="00F31039"/>
    <w:rsid w:val="00F319B6"/>
    <w:rsid w:val="00F32483"/>
    <w:rsid w:val="00F32B9F"/>
    <w:rsid w:val="00F32C59"/>
    <w:rsid w:val="00F3330D"/>
    <w:rsid w:val="00F33C92"/>
    <w:rsid w:val="00F33F5D"/>
    <w:rsid w:val="00F34176"/>
    <w:rsid w:val="00F364EB"/>
    <w:rsid w:val="00F366E8"/>
    <w:rsid w:val="00F41EA0"/>
    <w:rsid w:val="00F438F4"/>
    <w:rsid w:val="00F43DD6"/>
    <w:rsid w:val="00F44023"/>
    <w:rsid w:val="00F44828"/>
    <w:rsid w:val="00F44B82"/>
    <w:rsid w:val="00F5204D"/>
    <w:rsid w:val="00F52C13"/>
    <w:rsid w:val="00F52E42"/>
    <w:rsid w:val="00F53497"/>
    <w:rsid w:val="00F554CE"/>
    <w:rsid w:val="00F6052A"/>
    <w:rsid w:val="00F61F1D"/>
    <w:rsid w:val="00F6201E"/>
    <w:rsid w:val="00F62EC7"/>
    <w:rsid w:val="00F6361C"/>
    <w:rsid w:val="00F636FF"/>
    <w:rsid w:val="00F6496F"/>
    <w:rsid w:val="00F653E2"/>
    <w:rsid w:val="00F6609A"/>
    <w:rsid w:val="00F67609"/>
    <w:rsid w:val="00F67FEB"/>
    <w:rsid w:val="00F702A2"/>
    <w:rsid w:val="00F70757"/>
    <w:rsid w:val="00F7092F"/>
    <w:rsid w:val="00F71356"/>
    <w:rsid w:val="00F72DD3"/>
    <w:rsid w:val="00F740E3"/>
    <w:rsid w:val="00F766DC"/>
    <w:rsid w:val="00F82367"/>
    <w:rsid w:val="00F82922"/>
    <w:rsid w:val="00F845ED"/>
    <w:rsid w:val="00F8599F"/>
    <w:rsid w:val="00F919EC"/>
    <w:rsid w:val="00F92ED4"/>
    <w:rsid w:val="00F934A2"/>
    <w:rsid w:val="00F94058"/>
    <w:rsid w:val="00F94F01"/>
    <w:rsid w:val="00F97A8C"/>
    <w:rsid w:val="00FA195F"/>
    <w:rsid w:val="00FA1A20"/>
    <w:rsid w:val="00FA302B"/>
    <w:rsid w:val="00FA351B"/>
    <w:rsid w:val="00FA5B04"/>
    <w:rsid w:val="00FA6A59"/>
    <w:rsid w:val="00FA728B"/>
    <w:rsid w:val="00FA76ED"/>
    <w:rsid w:val="00FB08A3"/>
    <w:rsid w:val="00FB1F2B"/>
    <w:rsid w:val="00FB2F50"/>
    <w:rsid w:val="00FB62BE"/>
    <w:rsid w:val="00FB6FFA"/>
    <w:rsid w:val="00FC0106"/>
    <w:rsid w:val="00FC48A2"/>
    <w:rsid w:val="00FC6F1B"/>
    <w:rsid w:val="00FC7128"/>
    <w:rsid w:val="00FD08AD"/>
    <w:rsid w:val="00FD1714"/>
    <w:rsid w:val="00FD2E50"/>
    <w:rsid w:val="00FD3D8A"/>
    <w:rsid w:val="00FD4161"/>
    <w:rsid w:val="00FD4733"/>
    <w:rsid w:val="00FD71BA"/>
    <w:rsid w:val="00FD78E6"/>
    <w:rsid w:val="00FD7DBF"/>
    <w:rsid w:val="00FE0E03"/>
    <w:rsid w:val="00FE1487"/>
    <w:rsid w:val="00FE1DA6"/>
    <w:rsid w:val="00FE1EBC"/>
    <w:rsid w:val="00FE319B"/>
    <w:rsid w:val="00FE381F"/>
    <w:rsid w:val="00FE6038"/>
    <w:rsid w:val="00FE695D"/>
    <w:rsid w:val="00FF1FF7"/>
    <w:rsid w:val="00FF221B"/>
    <w:rsid w:val="00FF597D"/>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A37AC8"/>
    <w:pPr>
      <w:keepNext/>
      <w:keepLines/>
      <w:numPr>
        <w:ilvl w:val="3"/>
        <w:numId w:val="1"/>
      </w:numPr>
      <w:spacing w:before="40" w:line="360" w:lineRule="auto"/>
      <w:ind w:left="1656"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A37AC8"/>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health.ec.europa.eu/medical-devices-topics-interest/harmonised-standards_e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health.ec.europa.eu/medical-devices-sector/new-regulations/guidance-mdcg-endorsed-documents-and-other-guidance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24</Pages>
  <Words>6257</Words>
  <Characters>34415</Characters>
  <Application>Microsoft Office Word</Application>
  <DocSecurity>0</DocSecurity>
  <Lines>286</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petiard</cp:lastModifiedBy>
  <cp:revision>1643</cp:revision>
  <dcterms:created xsi:type="dcterms:W3CDTF">2016-08-09T19:06:00Z</dcterms:created>
  <dcterms:modified xsi:type="dcterms:W3CDTF">2023-10-18T20:31:00Z</dcterms:modified>
</cp:coreProperties>
</file>